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5BBB" w14:textId="64FF4253" w:rsidR="00F2268C" w:rsidRDefault="00F432D8" w:rsidP="000304E2">
      <w:pPr>
        <w:autoSpaceDE w:val="0"/>
        <w:autoSpaceDN w:val="0"/>
        <w:adjustRightInd w:val="0"/>
        <w:spacing w:line="480" w:lineRule="auto"/>
        <w:jc w:val="center"/>
        <w:outlineLvl w:val="0"/>
        <w:rPr>
          <w:b/>
          <w:shd w:val="clear" w:color="auto" w:fill="FFFFFF"/>
        </w:rPr>
      </w:pPr>
      <w:commentRangeStart xmlns:rel="http://schemas.openxmlformats.org/package/2006/relationships" w:id="20" xml:space="preserve"/>
      <w:commentRangeStart xmlns:rel="http://schemas.openxmlformats.org/package/2006/relationships" w:id="21" xml:space="preserve"/>
      <w:commentRangeStart xmlns:rel="http://schemas.openxmlformats.org/package/2006/relationships" w:id="22" xml:space="preserve"/>
      <w:commentRangeStart xmlns:rel="http://schemas.openxmlformats.org/package/2006/relationships" w:id="23" xml:space="preserve"/>
      <w:commentRangeStart xmlns:rel="http://schemas.openxmlformats.org/package/2006/relationships" w:id="24" xml:space="preserve"/>
      <w:commentRangeStart xmlns:rel="http://schemas.openxmlformats.org/package/2006/relationships" w:id="25" xml:space="preserve"/>
      <w:commentRangeStart xmlns:rel="http://schemas.openxmlformats.org/package/2006/relationships" w:id="26" xml:space="preserve"/>
      <w:commentRangeStart xmlns:rel="http://schemas.openxmlformats.org/package/2006/relationships" w:id="27" xml:space="preserve"/>
      <w:r xml:space="preserve">
        <w:rPr>
          <w:b/>
          <w:shd w:val="clear" w:color="auto" w:fill="FFFFFF"/>
        </w:rPr>
        <w:t xml:space="preserve"/>
      </w:r>
      <w:commentRangeEnd xmlns:rel="http://schemas.openxmlformats.org/package/2006/relationships" w:id="27" xml:space="preserve"/>
      <w:r>
        <w:rPr>
          <w:rStyle w:val="CommentReference"/>
        </w:rPr>
        <w:commentReference w:id="27"/>
      </w:r>
      <w:commentRangeEnd xmlns:rel="http://schemas.openxmlformats.org/package/2006/relationships" w:id="26" xml:space="preserve"/>
      <w:r>
        <w:rPr>
          <w:rStyle w:val="CommentReference"/>
        </w:rPr>
        <w:commentReference w:id="26"/>
      </w:r>
      <w:commentRangeEnd xmlns:rel="http://schemas.openxmlformats.org/package/2006/relationships" w:id="25" xml:space="preserve"/>
      <w:r>
        <w:rPr>
          <w:rStyle w:val="CommentReference"/>
        </w:rPr>
        <w:commentReference w:id="25"/>
      </w:r>
      <w:commentRangeEnd xmlns:rel="http://schemas.openxmlformats.org/package/2006/relationships" w:id="24" xml:space="preserve"/>
      <w:r>
        <w:rPr>
          <w:rStyle w:val="CommentReference"/>
        </w:rPr>
        <w:commentReference w:id="24"/>
      </w:r>
      <w:commentRangeEnd xmlns:rel="http://schemas.openxmlformats.org/package/2006/relationships" w:id="23" xml:space="preserve"/>
      <w:r>
        <w:rPr>
          <w:rStyle w:val="CommentReference"/>
        </w:rPr>
        <w:commentReference w:id="23"/>
      </w:r>
      <w:commentRangeEnd xmlns:rel="http://schemas.openxmlformats.org/package/2006/relationships" w:id="22" xml:space="preserve"/>
      <w:r>
        <w:rPr>
          <w:rStyle w:val="CommentReference"/>
        </w:rPr>
        <w:commentReference w:id="22"/>
      </w:r>
      <w:commentRangeEnd xmlns:rel="http://schemas.openxmlformats.org/package/2006/relationships" w:id="21" xml:space="preserve"/>
      <w:r>
        <w:rPr>
          <w:rStyle w:val="CommentReference"/>
        </w:rPr>
        <w:commentReference w:id="21"/>
      </w:r>
      <w:commentRangeEnd xmlns:rel="http://schemas.openxmlformats.org/package/2006/relationships" w:id="20" xml:space="preserve"/>
      <w:r>
        <w:rPr>
          <w:rStyle w:val="CommentReference"/>
        </w:rPr>
        <w:commentReference w:id="20"/>
      </w:r>
      <w:r xml:space="preserve">
        <w:rPr>
          <w:b/>
          <w:shd w:val="clear" w:color="auto" w:fill="FFFFFF"/>
        </w:rPr>
        <w:t xml:space="preserve">The Effect of Obesity on </w:t>
      </w:r>
      <w:r w:rsidRPr="00F432D8">
        <w:rPr>
          <w:b/>
          <w:shd w:val="clear" w:color="auto" w:fill="FFFFFF"/>
        </w:rPr>
        <w:t>Immunohist</w:t>
      </w:r>
      <w:r>
        <w:rPr>
          <w:b/>
          <w:shd w:val="clear" w:color="auto" w:fill="FFFFFF"/>
        </w:rPr>
        <w:t>ochemical Surrogate Markers in Pre-</w:t>
      </w:r>
      <w:r w:rsidR="00697223">
        <w:rPr>
          <w:b/>
          <w:shd w:val="clear" w:color="auto" w:fill="FFFFFF"/>
        </w:rPr>
        <w:t xml:space="preserve"> and Post-Menopausal</w:t>
      </w:r>
      <w:r w:rsidR="00227481">
        <w:rPr>
          <w:b/>
          <w:shd w:val="clear" w:color="auto" w:fill="FFFFFF"/>
        </w:rPr>
        <w:t xml:space="preserve"> Breast Cancer</w:t>
      </w:r>
    </w:p>
    <w:p w14:paraId="4EDCC9B6" w14:textId="77777777" w:rsidR="004B7643" w:rsidRDefault="004B7643" w:rsidP="000304E2">
      <w:pPr>
        <w:autoSpaceDE w:val="0"/>
        <w:autoSpaceDN w:val="0"/>
        <w:adjustRightInd w:val="0"/>
        <w:spacing w:line="480" w:lineRule="auto"/>
        <w:jc w:val="center"/>
        <w:outlineLvl w:val="0"/>
        <w:rPr>
          <w:b/>
          <w:shd w:val="clear" w:color="auto" w:fill="FFFFFF"/>
        </w:rPr>
      </w:pPr>
    </w:p>
    <w:p w14:paraId="1584FFB6" w14:textId="4F313BD9" w:rsidR="00F2268C" w:rsidRDefault="005F5C0F" w:rsidP="000304E2">
      <w:pPr>
        <w:autoSpaceDE w:val="0"/>
        <w:autoSpaceDN w:val="0"/>
        <w:adjustRightInd w:val="0"/>
        <w:spacing w:line="480" w:lineRule="auto"/>
        <w:outlineLvl w:val="0"/>
        <w:rPr>
          <w:b/>
          <w:shd w:val="clear" w:color="auto" w:fill="FFFFFF"/>
        </w:rPr>
      </w:pPr>
      <w:commentRangeStart xmlns:rel="http://schemas.openxmlformats.org/package/2006/relationships" w:id="19" xml:space="preserve"/>
      <w:r>
        <w:rPr>
          <w:b/>
          <w:shd w:val="clear" w:color="auto" w:fill="FFFFFF"/>
        </w:rPr>
        <w:t xml:space="preserve">Abstract</w:t>
      </w:r>
    </w:p>
    <w:p w14:paraId="0577552B" w14:textId="389D7E30" w:rsidR="005F5C0F" w:rsidRDefault="005F5C0F" w:rsidP="000304E2">
      <w:pPr>
        <w:spacing w:line="480" w:lineRule="auto"/>
        <w:jc w:val="both"/>
        <w:rPr>
          <w:color w:val="000000" w:themeColor="text1"/>
        </w:rPr>
      </w:pPr>
      <w:commentRangeStart xmlns:rel="http://schemas.openxmlformats.org/package/2006/relationships" w:id="18" xml:space="preserve"/>
      <w:r xml:space="preserve">
        <w:rPr>
          <w:b/>
          <w:shd w:val="clear" w:color="auto" w:fill="FFFFFF"/>
        </w:rPr>
        <w:t xml:space="preserve"/>
      </w:r>
      <w:commentRangeEnd xmlns:rel="http://schemas.openxmlformats.org/package/2006/relationships" w:id="19" xml:space="preserve"/>
      <w:r>
        <w:rPr>
          <w:rStyle w:val="CommentReference"/>
        </w:rPr>
        <w:commentReference w:id="19"/>
      </w:r>
      <w:r xml:space="preserve">
        <w:rPr>
          <w:b/>
          <w:shd w:val="clear" w:color="auto" w:fill="FFFFFF"/>
        </w:rPr>
        <w:t xml:space="preserve">Aim: </w:t>
      </w:r>
      <w:r w:rsidR="00764372">
        <w:rPr>
          <w:color w:val="000000" w:themeColor="text1"/>
        </w:rPr>
        <w:t>T</w:t>
      </w:r>
      <w:r>
        <w:rPr>
          <w:color w:val="000000" w:themeColor="text1"/>
        </w:rPr>
        <w:t>o determine</w:t>
      </w:r>
      <w:r w:rsidRPr="0091139F">
        <w:rPr>
          <w:shd w:val="clear" w:color="auto" w:fill="FFFFFF"/>
        </w:rPr>
        <w:t xml:space="preserve"> </w:t>
      </w:r>
      <w:r w:rsidRPr="00E257DE">
        <w:rPr>
          <w:shd w:val="clear" w:color="auto" w:fill="FFFFFF"/>
        </w:rPr>
        <w:t xml:space="preserve">whether obesity has an impact on </w:t>
      </w:r>
      <w:r w:rsidR="00764372" w:rsidRPr="005F5C0F">
        <w:rPr>
          <w:shd w:val="clear" w:color="auto" w:fill="FFFFFF"/>
        </w:rPr>
        <w:t>immunohistochemical surrogate</w:t>
      </w:r>
      <w:r w:rsidR="00764372">
        <w:rPr>
          <w:color w:val="000000" w:themeColor="text1"/>
        </w:rPr>
        <w:t>s</w:t>
      </w:r>
      <w:r w:rsidR="00764372" w:rsidRPr="005F5C0F">
        <w:rPr>
          <w:color w:val="000000" w:themeColor="text1"/>
        </w:rPr>
        <w:t xml:space="preserve"> </w:t>
      </w:r>
      <w:r w:rsidRPr="00E257DE">
        <w:rPr>
          <w:shd w:val="clear" w:color="auto" w:fill="FFFFFF"/>
        </w:rPr>
        <w:t xml:space="preserve">in </w:t>
      </w:r>
      <w:r>
        <w:rPr>
          <w:shd w:val="clear" w:color="auto" w:fill="FFFFFF"/>
        </w:rPr>
        <w:t>breast cancer (BC)</w:t>
      </w:r>
      <w:r w:rsidRPr="00647190">
        <w:rPr>
          <w:color w:val="000000" w:themeColor="text1"/>
        </w:rPr>
        <w:t>.</w:t>
      </w:r>
    </w:p>
    <w:p w14:paraId="18B3BC32" w14:textId="2E22CE7F" w:rsidR="005F5C0F" w:rsidRDefault="005F5C0F" w:rsidP="000304E2">
      <w:pPr>
        <w:spacing w:line="480" w:lineRule="auto"/>
        <w:jc w:val="both"/>
        <w:rPr>
          <w:color w:val="000000" w:themeColor="text1"/>
        </w:rPr>
      </w:pPr>
      <w:r w:rsidRPr="005F5C0F">
        <w:rPr>
          <w:b/>
          <w:color w:val="000000" w:themeColor="text1"/>
        </w:rPr>
        <w:t>Material and Methods:</w:t>
      </w:r>
      <w:r>
        <w:rPr>
          <w:b/>
          <w:color w:val="000000" w:themeColor="text1"/>
        </w:rPr>
        <w:t xml:space="preserve"> </w:t>
      </w:r>
      <w:r w:rsidR="005C6B17" w:rsidRPr="005C6B17">
        <w:rPr>
          <w:color w:val="000000" w:themeColor="text1"/>
        </w:rPr>
        <w:t xml:space="preserve">This </w:t>
      </w:r>
      <w:r w:rsidR="00764372">
        <w:rPr>
          <w:color w:val="000000" w:themeColor="text1"/>
        </w:rPr>
        <w:t xml:space="preserve">study is </w:t>
      </w:r>
      <w:r w:rsidR="005C6B17">
        <w:rPr>
          <w:shd w:val="clear" w:color="auto" w:fill="FFFFFF"/>
        </w:rPr>
        <w:t xml:space="preserve">consisted of 206 newly diagnosed BC patients. </w:t>
      </w:r>
      <w:r w:rsidR="00764372">
        <w:rPr>
          <w:shd w:val="clear" w:color="auto" w:fill="FFFFFF"/>
        </w:rPr>
        <w:t>D</w:t>
      </w:r>
      <w:r w:rsidR="00A83919">
        <w:rPr>
          <w:shd w:val="clear" w:color="auto" w:fill="FFFFFF"/>
        </w:rPr>
        <w:t xml:space="preserve">emographic and cancer specific variables were obtained from patients’ records. </w:t>
      </w:r>
      <w:r w:rsidR="00A83919" w:rsidRPr="0041734D">
        <w:rPr>
          <w:shd w:val="clear" w:color="auto" w:fill="FFFFFF"/>
        </w:rPr>
        <w:t>Obesity was define a</w:t>
      </w:r>
      <w:r w:rsidR="00A83919">
        <w:rPr>
          <w:shd w:val="clear" w:color="auto" w:fill="FFFFFF"/>
        </w:rPr>
        <w:t>s a body-mass index of 30 kg/m</w:t>
      </w:r>
      <w:r w:rsidR="00A83919">
        <w:rPr>
          <w:shd w:val="clear" w:color="auto" w:fill="FFFFFF"/>
          <w:vertAlign w:val="superscript"/>
        </w:rPr>
        <w:t>2</w:t>
      </w:r>
      <w:r w:rsidR="00A83919" w:rsidRPr="0041734D">
        <w:rPr>
          <w:shd w:val="clear" w:color="auto" w:fill="FFFFFF"/>
        </w:rPr>
        <w:t xml:space="preserve"> or greater according to the recommendation of WHO</w:t>
      </w:r>
      <w:r w:rsidR="00A83919">
        <w:rPr>
          <w:shd w:val="clear" w:color="auto" w:fill="FFFFFF"/>
        </w:rPr>
        <w:t xml:space="preserve">. </w:t>
      </w:r>
      <w:r w:rsidR="00C60678">
        <w:rPr>
          <w:shd w:val="clear" w:color="auto" w:fill="FFFFFF"/>
        </w:rPr>
        <w:t xml:space="preserve">Firstly, patients were grouped according to menopausal status and each group has been divided according to obesity </w:t>
      </w:r>
      <w:r w:rsidR="00C60678">
        <w:rPr>
          <w:color w:val="000000" w:themeColor="text1"/>
        </w:rPr>
        <w:t>i</w:t>
      </w:r>
      <w:r w:rsidR="00427FA2" w:rsidRPr="00E822F3">
        <w:rPr>
          <w:color w:val="000000" w:themeColor="text1"/>
        </w:rPr>
        <w:t>n order to compare ER, PR, HER2, triple-negative, triple-positive</w:t>
      </w:r>
      <w:r w:rsidR="00C60678">
        <w:rPr>
          <w:color w:val="000000" w:themeColor="text1"/>
        </w:rPr>
        <w:t xml:space="preserve"> status, 5-year mortality rates.</w:t>
      </w:r>
    </w:p>
    <w:p w14:paraId="28D79513" w14:textId="4015556C" w:rsidR="00C174AE" w:rsidRDefault="00C60678" w:rsidP="000304E2">
      <w:pPr>
        <w:spacing w:line="480" w:lineRule="auto"/>
        <w:jc w:val="both"/>
        <w:rPr>
          <w:color w:val="000000" w:themeColor="text1"/>
        </w:rPr>
      </w:pPr>
      <w:r w:rsidRPr="00C60678">
        <w:rPr>
          <w:b/>
          <w:color w:val="000000" w:themeColor="text1"/>
        </w:rPr>
        <w:t xml:space="preserve">Results: </w:t>
      </w:r>
      <w:r w:rsidR="00AD5D9C">
        <w:rPr>
          <w:color w:val="000000" w:themeColor="text1"/>
        </w:rPr>
        <w:t xml:space="preserve">Significant differences were obtained in ER, PR, HER2, and triple-negative receptor statuses between pre-menopausal and post-menopausal patients (p= 0.026, 0.018, 0.036, 0.011, respectively). </w:t>
      </w:r>
      <w:r w:rsidR="00C174AE" w:rsidRPr="00C174AE">
        <w:rPr>
          <w:color w:val="000000" w:themeColor="text1"/>
        </w:rPr>
        <w:t xml:space="preserve">In pre-menopausal group, 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PR, HER2, triple-positive, and triple-negative status</w:t>
      </w:r>
      <w:r w:rsidR="00C174AE">
        <w:rPr>
          <w:color w:val="000000" w:themeColor="text1"/>
        </w:rPr>
        <w:t xml:space="preserve"> between obese and non-obese patients (p= 0.696, 0.455, 0.659, 0.662, 0.774, respectively); likewise, in post-menopausal group, </w:t>
      </w:r>
      <w:r w:rsidR="00C174AE" w:rsidRPr="00C174AE">
        <w:rPr>
          <w:color w:val="000000" w:themeColor="text1"/>
        </w:rPr>
        <w:t xml:space="preserve">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xml:space="preserve">, PR, HER2, </w:t>
      </w:r>
      <w:r w:rsidR="00C174AE">
        <w:rPr>
          <w:color w:val="000000" w:themeColor="text1"/>
        </w:rPr>
        <w:t>and triple-positive</w:t>
      </w:r>
      <w:r w:rsidR="00C174AE" w:rsidRPr="00E822F3">
        <w:rPr>
          <w:color w:val="000000" w:themeColor="text1"/>
        </w:rPr>
        <w:t xml:space="preserve"> status</w:t>
      </w:r>
      <w:r w:rsidR="00C174AE">
        <w:rPr>
          <w:color w:val="000000" w:themeColor="text1"/>
        </w:rPr>
        <w:t xml:space="preserve"> between obese and non-obese patients (p= 0.786, 0.130, 0.082, 0.437, respectively) except triple-negative status which t</w:t>
      </w:r>
      <w:r w:rsidR="00C174AE" w:rsidRPr="00E822F3">
        <w:rPr>
          <w:color w:val="000000" w:themeColor="text1"/>
        </w:rPr>
        <w:t xml:space="preserve">ended to slightly less </w:t>
      </w:r>
      <w:r w:rsidR="005D01B2">
        <w:rPr>
          <w:color w:val="000000" w:themeColor="text1"/>
        </w:rPr>
        <w:t xml:space="preserve">in </w:t>
      </w:r>
      <w:r w:rsidR="00C174AE" w:rsidRPr="00E822F3">
        <w:rPr>
          <w:color w:val="000000" w:themeColor="text1"/>
        </w:rPr>
        <w:t>non-obese patients (p=0.03).</w:t>
      </w:r>
    </w:p>
    <w:p w14:paraId="25E7DBB1" w14:textId="4AE3D165" w:rsidR="00AD5D9C" w:rsidRDefault="00AD5D9C" w:rsidP="000304E2">
      <w:pPr>
        <w:spacing w:line="480" w:lineRule="auto"/>
        <w:jc w:val="both"/>
        <w:rPr>
          <w:color w:val="000000" w:themeColor="text1"/>
        </w:rPr>
      </w:pPr>
      <w:r w:rsidRPr="00AD5D9C">
        <w:rPr>
          <w:b/>
          <w:color w:val="000000" w:themeColor="text1"/>
        </w:rPr>
        <w:t>Conclusion:</w:t>
      </w:r>
      <w:r>
        <w:rPr>
          <w:b/>
          <w:color w:val="000000" w:themeColor="text1"/>
        </w:rPr>
        <w:t xml:space="preserve"> </w:t>
      </w:r>
      <w:r w:rsidRPr="00383113">
        <w:rPr>
          <w:color w:val="000000" w:themeColor="text1"/>
        </w:rPr>
        <w:t>The results of our study showed that while menopausal status has an impact on ER, PR, HER2, and triple-negative receptor statuses, obesity seems to have not the same impact on these markers.</w:t>
      </w:r>
    </w:p>
    <w:p w14:paraId="20E4DD18" w14:textId="77777777" w:rsidR="00AD5D9C" w:rsidRDefault="00AD5D9C" w:rsidP="000304E2">
      <w:pPr>
        <w:spacing w:line="480" w:lineRule="auto"/>
        <w:jc w:val="both"/>
        <w:rPr>
          <w:color w:val="000000" w:themeColor="text1"/>
        </w:rPr>
      </w:pPr>
    </w:p>
    <w:p w14:paraId="0702AD8D" w14:textId="6B5ACE08" w:rsidR="00AD5D9C" w:rsidRPr="00AD5D9C" w:rsidRDefault="00AD5D9C" w:rsidP="000304E2">
      <w:pPr>
        <w:spacing w:line="480" w:lineRule="auto"/>
        <w:jc w:val="both"/>
        <w:rPr>
          <w:color w:val="000000" w:themeColor="text1"/>
        </w:rPr>
      </w:pPr>
      <w:r w:rsidRPr="00AD5D9C" xml:space="preserve">
        <w:rPr>
          <w:b/>
          <w:color w:val="000000" w:themeColor="text1"/>
        </w:rPr>
        <w:lastRenderedPageBreak/>
        <w:t/>
      </w:r>
      <w:commentRangeEnd xmlns:rel="http://schemas.openxmlformats.org/package/2006/relationships" w:id="18" xml:space="preserve"/>
      <w:r>
        <w:rPr>
          <w:rStyle w:val="CommentReference"/>
        </w:rPr>
        <w:commentReference w:id="18"/>
      </w:r>
      <w:r w:rsidRPr="00AD5D9C" xml:space="preserve">
        <w:rPr>
          <w:b/>
          <w:color w:val="000000" w:themeColor="text1"/>
        </w:rPr>
        <w:lastRenderedPageBreak/>
        <w:t xml:space="preserve">Keywords:</w:t>
      </w:r>
      <w:r>
        <w:rPr>
          <w:color w:val="000000" w:themeColor="text1"/>
        </w:rPr>
        <w:t xml:space="preserve"> obesity, body-mass index, BMI, breast cancer, </w:t>
      </w:r>
      <w:r w:rsidRPr="00AD5D9C">
        <w:rPr>
          <w:shd w:val="clear" w:color="auto" w:fill="FFFFFF"/>
        </w:rPr>
        <w:t>immunohistochemical marker</w:t>
      </w:r>
      <w:r>
        <w:rPr>
          <w:shd w:val="clear" w:color="auto" w:fill="FFFFFF"/>
        </w:rPr>
        <w:t>, estrogen receptor, hormone receptor, HER2, triple-negative breast cancer</w:t>
      </w:r>
    </w:p>
    <w:p w14:paraId="0D7ADA1E" w14:textId="6CBD4214" w:rsidR="00AD5D9C" w:rsidRPr="00AD5D9C" w:rsidRDefault="00AD5D9C" w:rsidP="000304E2">
      <w:pPr>
        <w:spacing w:line="480" w:lineRule="auto"/>
        <w:jc w:val="both"/>
        <w:rPr>
          <w:color w:val="000000" w:themeColor="text1"/>
        </w:rPr>
      </w:pPr>
    </w:p>
    <w:p w14:paraId="72D8CD15" w14:textId="77777777" w:rsidR="00C174AE" w:rsidRDefault="00C174AE" w:rsidP="000304E2">
      <w:pPr>
        <w:spacing w:line="480" w:lineRule="auto"/>
        <w:jc w:val="both"/>
        <w:rPr>
          <w:color w:val="000000" w:themeColor="text1"/>
        </w:rPr>
      </w:pPr>
    </w:p>
    <w:p w14:paraId="0240873C" w14:textId="77777777" w:rsidR="00C174AE" w:rsidRDefault="00C174AE" w:rsidP="000304E2">
      <w:pPr>
        <w:spacing w:line="480" w:lineRule="auto"/>
        <w:jc w:val="both"/>
        <w:rPr>
          <w:b/>
          <w:color w:val="000000" w:themeColor="text1"/>
        </w:rPr>
      </w:pPr>
    </w:p>
    <w:p w14:paraId="27B16401" w14:textId="5B563E9F" w:rsidR="00C60678" w:rsidRPr="00C60678" w:rsidRDefault="00C60678" w:rsidP="000304E2">
      <w:pPr>
        <w:spacing w:line="480" w:lineRule="auto"/>
        <w:jc w:val="both"/>
        <w:rPr>
          <w:color w:val="000000" w:themeColor="text1"/>
        </w:rPr>
      </w:pPr>
    </w:p>
    <w:p w14:paraId="6EE6D822" w14:textId="47F9B4F9" w:rsidR="00383788" w:rsidRDefault="00383788" w:rsidP="000304E2">
      <w:pPr>
        <w:autoSpaceDE w:val="0"/>
        <w:autoSpaceDN w:val="0"/>
        <w:adjustRightInd w:val="0"/>
        <w:spacing w:line="480" w:lineRule="auto"/>
        <w:outlineLvl w:val="0"/>
        <w:rPr>
          <w:b/>
          <w:shd w:val="clear" w:color="auto" w:fill="FFFFFF"/>
        </w:rPr>
      </w:pPr>
      <w:commentRangeStart xmlns:rel="http://schemas.openxmlformats.org/package/2006/relationships" w:id="17" xml:space="preserve"/>
      <w:r>
        <w:rPr>
          <w:b/>
          <w:shd w:val="clear" w:color="auto" w:fill="FFFFFF"/>
        </w:rPr>
        <w:t xml:space="preserve">Introduction</w:t>
      </w:r>
    </w:p>
    <w:p w14:paraId="28FE89D0" w14:textId="65C6E6AE" w:rsidR="00383788" w:rsidRDefault="007868F9" w:rsidP="000304E2">
      <w:pPr>
        <w:autoSpaceDE w:val="0"/>
        <w:autoSpaceDN w:val="0"/>
        <w:adjustRightInd w:val="0"/>
        <w:spacing w:line="480" w:lineRule="auto"/>
        <w:ind w:firstLine="720"/>
        <w:jc w:val="both"/>
        <w:outlineLvl w:val="0"/>
        <w:rPr>
          <w:color w:val="131413"/>
        </w:rPr>
      </w:pPr>
      <w:r xml:space="preserve">
        <w:rPr>
          <w:color w:val="131413"/>
        </w:rPr>
        <w:t/>
      </w:r>
      <w:commentRangeEnd xmlns:rel="http://schemas.openxmlformats.org/package/2006/relationships" w:id="17" xml:space="preserve"/>
      <w:r>
        <w:rPr>
          <w:rStyle w:val="CommentReference"/>
        </w:rPr>
        <w:commentReference w:id="17"/>
      </w:r>
      <w:r xml:space="preserve">
        <w:rPr>
          <w:color w:val="131413"/>
        </w:rPr>
        <w:t xml:space="preserve">In worldwide, a</w:t>
      </w:r>
      <w:r w:rsidR="00FF2DE0" w:rsidRPr="00095749">
        <w:rPr>
          <w:color w:val="131413"/>
        </w:rPr>
        <w:t xml:space="preserve">pproximately </w:t>
      </w:r>
      <w:r>
        <w:rPr>
          <w:color w:val="131413"/>
        </w:rPr>
        <w:t>2</w:t>
      </w:r>
      <w:r w:rsidR="00FF2DE0" w:rsidRPr="00095749">
        <w:rPr>
          <w:color w:val="131413"/>
        </w:rPr>
        <w:t xml:space="preserve"> billion adults are overweight</w:t>
      </w:r>
      <w:r>
        <w:rPr>
          <w:color w:val="131413"/>
        </w:rPr>
        <w:t xml:space="preserve"> or</w:t>
      </w:r>
      <w:r w:rsidR="00FF2DE0" w:rsidRPr="00095749">
        <w:rPr>
          <w:color w:val="131413"/>
        </w:rPr>
        <w:t xml:space="preserve"> obese</w:t>
      </w:r>
      <w:r w:rsidR="00FF2DE0">
        <w:rPr>
          <w:color w:val="131413"/>
        </w:rPr>
        <w:t xml:space="preserve"> </w:t>
      </w:r>
      <w:r w:rsidR="00FF2DE0">
        <w:rPr>
          <w:color w:val="131413"/>
        </w:rPr>
        <w:fldChar w:fldCharType="begin"/>
      </w:r>
      <w:r w:rsidR="00FF2DE0">
        <w:rPr>
          <w:color w:val="131413"/>
        </w:rPr>
        <w:instrText xml:space="preserve"> ADDIN ZOTERO_ITEM CSL_CITATION {"citationID":"lF4rPviO","properties":{"formattedCitation":"[1]","plainCitation":"[1]","noteIndex":0},"citationItems":[{"id":14,"uris":["http://zotero.org/users/local/82XhB2vR/items/MJ4UEEIY"],"uri":["http://zotero.org/users/local/82XhB2vR/items/MJ4UEEIY"],"itemData":{"id":14,"type":"article-journal","title":"Health and economic burden of the projected obesity trends in the USA and the UK","container-title":"The Lancet","page":"815-825","volume":"378","issue":"9793","source":"Crossref","DOI":"10.1016/S0140-6736(11)60814-3","ISSN":"01406736","language":"en","author":[{"family":"Wang","given":"Y Claire"},{"family":"McPherson","given":"Klim"},{"family":"Marsh","given":"Tim"},{"family":"Gortmaker","given":"Steven L"},{"family":"Brown","given":"Martin"}],"issued":{"date-parts":[["2011",8]]}}}],"schema":"https://github.com/citation-style-language/schema/raw/master/csl-citation.json"} </w:instrText>
      </w:r>
      <w:r w:rsidR="00FF2DE0">
        <w:rPr>
          <w:color w:val="131413"/>
        </w:rPr>
        <w:fldChar w:fldCharType="separate"/>
      </w:r>
      <w:r w:rsidR="00FF2DE0">
        <w:rPr>
          <w:noProof/>
          <w:color w:val="131413"/>
        </w:rPr>
        <w:t>[1]</w:t>
      </w:r>
      <w:r w:rsidR="00FF2DE0">
        <w:rPr>
          <w:color w:val="131413"/>
        </w:rPr>
        <w:fldChar w:fldCharType="end"/>
      </w:r>
      <w:r w:rsidR="00FF2DE0" w:rsidRPr="00095749">
        <w:rPr>
          <w:color w:val="131413"/>
        </w:rPr>
        <w:t>.</w:t>
      </w:r>
      <w:r w:rsidR="00FF2DE0">
        <w:rPr>
          <w:color w:val="131413"/>
        </w:rPr>
        <w:t xml:space="preserve"> </w:t>
      </w:r>
      <w:r w:rsidR="002864DF" w:rsidRPr="002864DF">
        <w:rPr>
          <w:color w:val="131413"/>
        </w:rPr>
        <w:t>Obesity promotes a number of diseases due to altered body physiology and hormonal environment, also it is associated with an increased risk of developing several cancers and with poorer survival outcomes for patients with those cancers.</w:t>
      </w:r>
      <w:r w:rsidR="00FF2DE0">
        <w:rPr>
          <w:color w:val="131413"/>
        </w:rPr>
        <w:t xml:space="preserve"> </w:t>
      </w:r>
      <w:r w:rsidR="00FF2DE0">
        <w:rPr>
          <w:color w:val="131413"/>
        </w:rPr>
        <w:fldChar w:fldCharType="begin"/>
      </w:r>
      <w:r w:rsidR="00FF2DE0">
        <w:rPr>
          <w:color w:val="131413"/>
        </w:rPr>
        <w:instrText xml:space="preserve"> ADDIN ZOTERO_ITEM CSL_CITATION {"citationID":"yYVYDq2R","properties":{"formattedCitation":"[2]","plainCitation":"[2]","noteIndex":0},"citationItems":[{"id":15,"uris":["http://zotero.org/users/local/82XhB2vR/items/962QWX3J"],"uri":["http://zotero.org/users/local/82XhB2vR/items/962QWX3J"],"itemData":{"id":15,"type":"article-journal","title":"Impact of the obesity epidemic on cancer","container-title":"Annual Review of Medicine","page":"281-296","volume":"66","source":"PubMed","abstract":"There is growing appreciation that the current obesity epidemic is associated with increases in cancer incidence at a population level and may lead to poor cancer outcomes; concurrent decreases in cancer mortality at a population level may represent a paradox, i.e., they may also reflect improvements in the diagnosis and treatment of cancer that mask obesity effects. An association of obesity with cancer is biologically plausible because adipose tissue is biologically active, secreting estrogens, adipokines, and cytokines. In obesity, adipose tissue reprogramming may lead to insulin resistance, with or without diabetes, and it may contribute to cancer growth and progression locally or through systemic effects. Obesity-associated changes impact cancer in a complex fashion, potentially acting directly on cells through pathways, such as the phosphoinositide 3-kinase (PI3K) and Janus kinase-signal transducer and activator of transcription (JAK-STAT) pathways, or indirectly via changes in the tumor microenvironment. Approaches to obesity management are discussed, and the potential for pharmacologic interventions that target the obesity-cancer link is addressed.","DOI":"10.1146/annurev-med-051613-012328","ISSN":"1545-326X","note":"PMID: 25423596","journalAbbreviation":"Annu. Rev. Med.","language":"eng","author":[{"family":"Goodwin","given":"Pamela J."},{"family":"Stambolic","given":"Vuk"}],"issued":{"date-parts":[["2015"]]}}}],"schema":"https://github.com/citation-style-language/schema/raw/master/csl-citation.json"} </w:instrText>
      </w:r>
      <w:r w:rsidR="00FF2DE0">
        <w:rPr>
          <w:color w:val="131413"/>
        </w:rPr>
        <w:fldChar w:fldCharType="separate"/>
      </w:r>
      <w:r w:rsidR="00FF2DE0">
        <w:rPr>
          <w:noProof/>
          <w:color w:val="131413"/>
        </w:rPr>
        <w:t>[2]</w:t>
      </w:r>
      <w:r w:rsidR="00FF2DE0">
        <w:rPr>
          <w:color w:val="131413"/>
        </w:rPr>
        <w:fldChar w:fldCharType="end"/>
      </w:r>
      <w:r w:rsidR="00FF2DE0">
        <w:rPr>
          <w:color w:val="131413"/>
        </w:rPr>
        <w:t xml:space="preserve">. </w:t>
      </w:r>
    </w:p>
    <w:p w14:paraId="1702FB41" w14:textId="7F895B9A" w:rsidR="00FF2DE0" w:rsidRDefault="00DF2F20" w:rsidP="000304E2">
      <w:pPr>
        <w:autoSpaceDE w:val="0"/>
        <w:autoSpaceDN w:val="0"/>
        <w:adjustRightInd w:val="0"/>
        <w:spacing w:line="480" w:lineRule="auto"/>
        <w:ind w:firstLine="720"/>
        <w:jc w:val="both"/>
        <w:outlineLvl w:val="0"/>
        <w:rPr>
          <w:color w:val="131413"/>
        </w:rPr>
      </w:pPr>
      <w:r w:rsidRPr="00095749">
        <w:t>Breast cancer</w:t>
      </w:r>
      <w:r w:rsidR="002864DF">
        <w:t xml:space="preserve"> (BC)</w:t>
      </w:r>
      <w:r w:rsidRPr="00095749">
        <w:t xml:space="preserve"> is most </w:t>
      </w:r>
      <w:r w:rsidR="001D6730">
        <w:t>common</w:t>
      </w:r>
      <w:r w:rsidRPr="00095749">
        <w:t xml:space="preserve"> cancer </w:t>
      </w:r>
      <w:r w:rsidR="001D6730">
        <w:t xml:space="preserve">and </w:t>
      </w:r>
      <w:r w:rsidR="001D6730" w:rsidRPr="001D6730">
        <w:t>leading cause of cancer</w:t>
      </w:r>
      <w:r w:rsidR="00681D7B">
        <w:t xml:space="preserve"> </w:t>
      </w:r>
      <w:r w:rsidR="001D6730" w:rsidRPr="001D6730">
        <w:t xml:space="preserve">related death </w:t>
      </w:r>
      <w:r w:rsidRPr="00095749">
        <w:t>among women worldwide, accounting for 25% of female</w:t>
      </w:r>
      <w:r>
        <w:t xml:space="preserve"> </w:t>
      </w:r>
      <w:r w:rsidRPr="00095749">
        <w:t>cancer cases at all ages and a greater percentage among young women</w:t>
      </w:r>
      <w:r>
        <w:t xml:space="preserve"> </w:t>
      </w:r>
      <w:r>
        <w:fldChar w:fldCharType="begin"/>
      </w:r>
      <w:r>
        <w:instrText xml:space="preserve"> ADDIN ZOTERO_ITEM CSL_CITATION {"citationID":"MuqiQSvC","properties":{"formattedCitation":"[3]","plainCitation":"[3]","noteIndex":0},"citationItems":[{"id":23,"uris":["http://zotero.org/users/local/82XhB2vR/items/HP2KUGBX"],"uri":["http://zotero.org/users/local/82XhB2vR/items/HP2KUGBX"],"itemData":{"id":23,"type":"article-journal","title":"Global Cancer in Women: Burden and Trends","container-title":"Cancer Epidemiology, Biomarkers &amp; Prevention: A Publication of the American Association for Cancer Research, Cosponsored by the American Society of Preventive Oncology","page":"444-457","volume":"26","issue":"4","source":"PubMed","abstract":"This review is an abbreviated version of a report prepared for the American Cancer Society Global Health department and EMD Serono, Inc., a subsidiary of Merck KGaA, Darmstadt, Germany, which was released at the Union for International Cancer Control World Cancer Congress in Paris in November 2016. The original report can be found at https://www.cancer.org/health-care-professionals/our-global-health-work/global-cancer-burden/global-burden-of-cancer-in-women.html. Staff in the Intramural Research Department of the American Cancer Society designed and conducted the study, including analysis, interpretation, and presentation of the review. The funding sources had no involvement in the study design, data analysis and interpretation, or preparation of the reviewThere are striking disparities in the global cancer burden in women, yet few publications highlight cancer occurrence in this population, particularly for cancers that are not sex specific. This article, the first in a series of two, summarizes the current burden, trends, risk factors, prevention, early detection, and survivorship of all cancers combined and seven sites (breast, cervix, uterine corpus, ovary, colorectum, lung, and liver) that account for about 60% of the cancer burden among women worldwide, using data from the International Agency for Research on Cancer. Estimated 2012 overall cancer death rates in general are higher among women in low- and middle-income countries (LMICs) than high-income countries (HICs), despite their lower overall incidence rates, largely due to inadequate access to early detection and treatment. For example, the top mortality rates are in Zimbabwe (147 deaths per 100,000) and Malawi (138). Furthermore, incidence rates of cancers associated with economic development (e.g., lung, breast, colorectum) are rising in several LMICs. The burden of cancer among women could be substantially reduced in both HICs and LMICs through broad and equitable implementation of effective interventions, including tobacco control, HPV and HBV vaccination, and screening (breast, cervix, and colorectum). Cancer Epidemiol Biomarkers Prev; 26(4); 444-57. ©2017 AACRSee related article by Islami et al. in this CEBP Focus section, \"Global Cancer in Women.\"","DOI":"10.1158/1055-9965.EPI-16-0858","ISSN":"1538-7755","note":"PMID: 28223433","shortTitle":"Global Cancer in Women","journalAbbreviation":"Cancer Epidemiol. Biomarkers Prev.","language":"eng","author":[{"family":"Torre","given":"Lindsey A."},{"family":"Islami","given":"Farhad"},{"family":"Siegel","given":"Rebecca L."},{"family":"Ward","given":"Elizabeth M."},{"family":"Jemal","given":"Ahmedin"}],"issued":{"date-parts":[["2017"]]}}}],"schema":"https://github.com/citation-style-language/schema/raw/master/csl-citation.json"} </w:instrText>
      </w:r>
      <w:r>
        <w:fldChar w:fldCharType="separate"/>
      </w:r>
      <w:r>
        <w:rPr>
          <w:noProof/>
        </w:rPr>
        <w:t>[3]</w:t>
      </w:r>
      <w:r>
        <w:fldChar w:fldCharType="end"/>
      </w:r>
      <w:r>
        <w:t>.</w:t>
      </w:r>
      <w:r>
        <w:rPr>
          <w:color w:val="131413"/>
        </w:rPr>
        <w:t xml:space="preserve"> </w:t>
      </w:r>
      <w:r w:rsidR="00AE4D11" w:rsidRPr="00AE4D11">
        <w:rPr>
          <w:color w:val="131413"/>
        </w:rPr>
        <w:t xml:space="preserve">Several risk factors for BC </w:t>
      </w:r>
      <w:r w:rsidR="00681D7B">
        <w:rPr>
          <w:color w:val="131413"/>
        </w:rPr>
        <w:t>has</w:t>
      </w:r>
      <w:r w:rsidR="00AE4D11" w:rsidRPr="00AE4D11">
        <w:rPr>
          <w:color w:val="131413"/>
        </w:rPr>
        <w:t xml:space="preserve"> been identified, such as age, genetic mutations, nulliparity, older age at menopause</w:t>
      </w:r>
      <w:r w:rsidR="00AE4D11">
        <w:rPr>
          <w:color w:val="131413"/>
        </w:rPr>
        <w:t xml:space="preserve"> </w:t>
      </w:r>
      <w:r w:rsidR="008160E6">
        <w:rPr>
          <w:color w:val="131413"/>
        </w:rPr>
        <w:fldChar w:fldCharType="begin"/>
      </w:r>
      <w:r>
        <w:rPr>
          <w:color w:val="131413"/>
        </w:rPr>
        <w:instrText xml:space="preserve"> ADDIN ZOTERO_ITEM CSL_CITATION {"citationID":"Cpm3QMxX","properties":{"formattedCitation":"[4]","plainCitation":"[4]","noteIndex":0},"citationItems":[{"id":17,"uris":["http://zotero.org/users/local/82XhB2vR/items/8MHA8H23"],"uri":["http://zotero.org/users/local/82XhB2vR/items/8MHA8H23"],"itemData":{"id":17,"type":"article-journal","title":"Menarche, menopause, and breast cancer risk: individual participant meta-analysis, including 118 964 women with breast cancer from 117 epidemiological studies","container-title":"The Lancet. Oncology","page":"1141-1151","volume":"13","issue":"11","source":"PubMed","abstract":"BACKGROUND: Menarche and menopause mark the onset and cessation, respectively, of ovarian activity associated with reproduction, and affect breast cancer risk. Our aim was to assess the strengths of their effects and determine whether they depend on characteristics of the tumours or the affected women.\nMETHODS: Individual data from 117 epidemiological studies, including 118 964 women with invasive breast cancer and 306 091 without the disease, none of whom had used menopausal hormone therapy, were included in the analyses. We calculated adjusted relative risks (RRs) associated with menarche and menopause for breast cancer overall, and by tumour histology and by oestrogen receptor expression.\nFINDINGS: Breast cancer risk increased by a factor of 1·050 (95% CI 1·044-1·057; p&lt;0·0001) for every year younger at menarche, and independently by a smaller amount (1·029, 1·025-1·032; p&lt;0·0001), for every year older at menopause. Premenopausal women had a greater risk of breast cancer than postmenopausal women of an identical age (RR at age 45-54 years 1·43, 1·33-1·52, p&lt;0·001). All three of these associations were attenuated by increasing adiposity among postmenopausal women, but did not vary materially by women's year of birth, ethnic origin, childbearing history, smoking, alcohol consumption, or hormonal contraceptive use. All three associations were stronger for lobular than for ductal tumours (p&lt;0·006 for each comparison). The effect of menopause in women of an identical age and trends by age at menopause were stronger for oestrogen receptor-positive disease than for oestrogen receptor-negative disease (p&lt;0·01 for both comparisons).\nINTERPRETATION: The effects of menarche and menopause on breast cancer risk might not be acting merely by lengthening women's total number of reproductive years. Endogenous ovarian hormones are more relevant for oestrogen receptor-positive disease than for oestrogen receptor-negative disease and for lobular than for ductal tumours.\nFUNDING: Cancer Research UK.","DOI":"10.1016/S1470-2045(12)70425-4","ISSN":"1474-5488","note":"PMID: 23084519\nPMCID: PMC3488186","shortTitle":"Menarche, menopause, and breast cancer risk","journalAbbreviation":"Lancet Oncol.","language":"eng","author":[{"literal":"Collaborative Group on Hormonal Factors in Breast Cancer"}],"issued":{"date-parts":[["2012",11]]}}}],"schema":"https://github.com/citation-style-language/schema/raw/master/csl-citation.json"} </w:instrText>
      </w:r>
      <w:r w:rsidR="008160E6">
        <w:rPr>
          <w:color w:val="131413"/>
        </w:rPr>
        <w:fldChar w:fldCharType="separate"/>
      </w:r>
      <w:r>
        <w:rPr>
          <w:noProof/>
          <w:color w:val="131413"/>
        </w:rPr>
        <w:t>[4]</w:t>
      </w:r>
      <w:r w:rsidR="008160E6">
        <w:rPr>
          <w:color w:val="131413"/>
        </w:rPr>
        <w:fldChar w:fldCharType="end"/>
      </w:r>
      <w:r w:rsidR="008160E6" w:rsidRPr="006B5963">
        <w:rPr>
          <w:color w:val="131413"/>
        </w:rPr>
        <w:t>,</w:t>
      </w:r>
      <w:r w:rsidR="008160E6">
        <w:rPr>
          <w:color w:val="131413"/>
        </w:rPr>
        <w:t xml:space="preserve"> </w:t>
      </w:r>
      <w:r w:rsidR="00AE4D11" w:rsidRPr="00AE4D11">
        <w:rPr>
          <w:color w:val="131413"/>
        </w:rPr>
        <w:t>also it has been highlighted that obesity could be associated with BC</w:t>
      </w:r>
      <w:r w:rsidR="00753D3E">
        <w:rPr>
          <w:color w:val="131413"/>
        </w:rPr>
        <w:t xml:space="preserve"> </w:t>
      </w:r>
      <w:r w:rsidR="00753D3E">
        <w:rPr>
          <w:color w:val="131413"/>
        </w:rPr>
        <w:fldChar w:fldCharType="begin"/>
      </w:r>
      <w:r>
        <w:rPr>
          <w:color w:val="131413"/>
        </w:rPr>
        <w:instrText xml:space="preserve"> ADDIN ZOTERO_ITEM CSL_CITATION {"citationID":"AkeOPOXL","properties":{"formattedCitation":"[5]","plainCitation":"[5]","noteIndex":0},"citationItems":[{"id":21,"uris":["http://zotero.org/users/local/82XhB2vR/items/ZU2F3WK8"],"uri":["http://zotero.org/users/local/82XhB2vR/items/ZU2F3WK8"],"itemData":{"id":21,"type":"article-journal","title":"Breast Cancer Research in the Nurses’ Health Studies: Exposures Across the Life Course","container-title":"American Journal of Public Health","page":"1592-1598","volume":"106","issue":"9","source":"Crossref","DOI":"10.2105/AJPH.2016.303325","ISSN":"0090-0036, 1541-0048","shortTitle":"Breast Cancer Research in the Nurses’ Health Studies","language":"en","author":[{"family":"Rice","given":"Megan S."},{"family":"Eliassen","given":"A. Heather"},{"family":"Hankinson","given":"Susan E."},{"family":"Lenart","given":"Elizabeth B."},{"family":"Willett","given":"Walter C."},{"family":"Tamimi","given":"Rulla M."}],"issued":{"date-parts":[["2016",9]]}}}],"schema":"https://github.com/citation-style-language/schema/raw/master/csl-citation.json"} </w:instrText>
      </w:r>
      <w:r w:rsidR="00753D3E">
        <w:rPr>
          <w:color w:val="131413"/>
        </w:rPr>
        <w:fldChar w:fldCharType="separate"/>
      </w:r>
      <w:r>
        <w:rPr>
          <w:noProof/>
          <w:color w:val="131413"/>
        </w:rPr>
        <w:t>[5]</w:t>
      </w:r>
      <w:r w:rsidR="00753D3E">
        <w:rPr>
          <w:color w:val="131413"/>
        </w:rPr>
        <w:fldChar w:fldCharType="end"/>
      </w:r>
      <w:r w:rsidR="008160E6">
        <w:rPr>
          <w:color w:val="131413"/>
        </w:rPr>
        <w:t>.</w:t>
      </w:r>
      <w:r w:rsidR="00DB6DC3">
        <w:rPr>
          <w:color w:val="131413"/>
        </w:rPr>
        <w:t xml:space="preserve"> </w:t>
      </w:r>
      <w:r w:rsidR="00AE4D11" w:rsidRPr="00AE4D11">
        <w:rPr>
          <w:color w:val="131413"/>
        </w:rPr>
        <w:t>Although the studies regarding this association are inconsistent, it has been shown that premenopausal breast cancer risk is reduced by approximately 8% per 5 kg/m2 BMI increase whereas postmenopausal breast cancer risk was positively associated with each 5</w:t>
      </w:r>
      <w:r w:rsidR="00AE4D11" w:rsidRPr="00AE4D11">
        <w:rPr>
          <w:rFonts w:ascii="Calibri" w:eastAsia="Calibri" w:hAnsi="Calibri" w:cs="Calibri"/>
          <w:color w:val="131413"/>
        </w:rPr>
        <w:t>‐</w:t>
      </w:r>
      <w:r w:rsidR="00AE4D11" w:rsidRPr="00AE4D11">
        <w:rPr>
          <w:color w:val="131413"/>
        </w:rPr>
        <w:t>kg/m2 increase in BMI</w:t>
      </w:r>
      <w:r w:rsidR="00DB6DC3">
        <w:rPr>
          <w:color w:val="131413"/>
        </w:rPr>
        <w:t xml:space="preserve"> </w:t>
      </w:r>
      <w:r w:rsidR="00DB6DC3">
        <w:rPr>
          <w:color w:val="131413"/>
        </w:rPr>
        <w:fldChar w:fldCharType="begin"/>
      </w:r>
      <w:r>
        <w:rPr>
          <w:color w:val="131413"/>
        </w:rPr>
        <w:instrText xml:space="preserve"> ADDIN ZOTERO_ITEM CSL_CITATION {"citationID":"5PNOnf3Q","properties":{"formattedCitation":"[6]","plainCitation":"[6]","noteIndex":0},"citationItems":[{"id":22,"uris":["http://zotero.org/users/local/82XhB2vR/items/5AKIUIWQ"],"uri":["http://zotero.org/users/local/82XhB2vR/items/5AKIUIWQ"],"itemData":{"id":22,"type":"article-journal","title":"Obesity and adverse breast cancer risk and outcome: Mechanistic insights and strategies for intervention: Breast Cancer, Inflammation, and Obesity","container-title":"CA: A Cancer Journal for Clinicians","page":"378-397","volume":"67","issue":"5","source":"Crossref","DOI":"10.3322/caac.21405","ISSN":"00079235","shortTitle":"Obesity and adverse breast cancer risk and outcome","language":"en","author":[{"family":"Picon-Ruiz","given":"Manuel"},{"family":"Morata-Tarifa","given":"Cynthia"},{"family":"Valle-Goffin","given":"Janeiro J."},{"family":"Friedman","given":"Eitan R."},{"family":"Slingerland","given":"Joyce M."}],"issued":{"date-parts":[["2017",9]]}}}],"schema":"https://github.com/citation-style-language/schema/raw/master/csl-citation.json"} </w:instrText>
      </w:r>
      <w:r w:rsidR="00DB6DC3">
        <w:rPr>
          <w:color w:val="131413"/>
        </w:rPr>
        <w:fldChar w:fldCharType="separate"/>
      </w:r>
      <w:commentRangeStart xmlns:rel="http://schemas.openxmlformats.org/package/2006/relationships" w:id="16" xml:space="preserve"/>
      <w:r>
        <w:rPr>
          <w:noProof/>
          <w:color w:val="131413"/>
        </w:rPr>
        <w:t xml:space="preserve">[6]</w:t>
      </w:r>
      <w:r w:rsidR="00DB6DC3">
        <w:rPr>
          <w:color w:val="131413"/>
        </w:rPr>
        <w:fldChar w:fldCharType="end"/>
      </w:r>
      <w:r w:rsidR="00DB6DC3" w:rsidRPr="00DB6DC3" xml:space="preserve">
        <w:rPr>
          <w:color w:val="131413"/>
        </w:rPr>
        <w:t/>
      </w:r>
      <w:commentRangeEnd xmlns:rel="http://schemas.openxmlformats.org/package/2006/relationships" w:id="16" xml:space="preserve"/>
      <w:r>
        <w:rPr>
          <w:rStyle w:val="CommentReference"/>
        </w:rPr>
        <w:commentReference w:id="16"/>
      </w:r>
      <w:r w:rsidR="00DB6DC3" w:rsidRPr="00DB6DC3" xml:space="preserve">
        <w:rPr>
          <w:color w:val="131413"/>
        </w:rPr>
        <w:t xml:space="preserve">.</w:t>
      </w:r>
    </w:p>
    <w:p w14:paraId="5C8AE88E" w14:textId="43890AD4" w:rsidR="0091139F" w:rsidRDefault="00DB6DC3" w:rsidP="000304E2">
      <w:pPr>
        <w:autoSpaceDE w:val="0"/>
        <w:autoSpaceDN w:val="0"/>
        <w:adjustRightInd w:val="0"/>
        <w:spacing w:line="480" w:lineRule="auto"/>
        <w:jc w:val="both"/>
        <w:outlineLvl w:val="0"/>
        <w:rPr>
          <w:shd w:val="clear" w:color="auto" w:fill="FFFFFF"/>
        </w:rPr>
      </w:pPr>
      <w:r>
        <w:rPr>
          <w:b/>
          <w:shd w:val="clear" w:color="auto" w:fill="FFFFFF"/>
        </w:rPr>
        <w:tab/>
      </w:r>
      <w:r w:rsidR="00970D4B" w:rsidRPr="00550FFF">
        <w:rPr>
          <w:shd w:val="clear" w:color="auto" w:fill="FFFFFF"/>
        </w:rPr>
        <w:t xml:space="preserve">Immunohistochemistry (IHC) -based surrogate definitions of </w:t>
      </w:r>
      <w:r w:rsidR="00550FFF" w:rsidRPr="00550FFF">
        <w:rPr>
          <w:shd w:val="clear" w:color="auto" w:fill="FFFFFF"/>
        </w:rPr>
        <w:t>the molecular</w:t>
      </w:r>
      <w:r w:rsidR="00970D4B" w:rsidRPr="00550FFF">
        <w:rPr>
          <w:shd w:val="clear" w:color="auto" w:fill="FFFFFF"/>
        </w:rPr>
        <w:t xml:space="preserve"> subtypes using protein expression of the estrogen receptor (ER), progesterone receptor (PR), and human epidermal growth factor receptor-2 (HER2) are routinely use to classify </w:t>
      </w:r>
      <w:r w:rsidR="00550FFF" w:rsidRPr="00550FFF">
        <w:rPr>
          <w:shd w:val="clear" w:color="auto" w:fill="FFFFFF"/>
        </w:rPr>
        <w:t>BC tumors</w:t>
      </w:r>
      <w:r w:rsidR="00550FFF">
        <w:rPr>
          <w:shd w:val="clear" w:color="auto" w:fill="FFFFFF"/>
        </w:rPr>
        <w:t xml:space="preserve"> </w:t>
      </w:r>
      <w:r w:rsidR="00550FFF">
        <w:rPr>
          <w:shd w:val="clear" w:color="auto" w:fill="FFFFFF"/>
        </w:rPr>
        <w:fldChar w:fldCharType="begin"/>
      </w:r>
      <w:r w:rsidR="001474C6">
        <w:rPr>
          <w:shd w:val="clear" w:color="auto" w:fill="FFFFFF"/>
        </w:rPr>
        <w:instrText xml:space="preserve"> ADDIN ZOTERO_ITEM CSL_CITATION {"citationID":"ggEplTtk","properties":{"formattedCitation":"[7, 8]","plainCitation":"[7, 8]","noteIndex":0},"citationItems":[{"id":10,"uris":["http://zotero.org/users/local/82XhB2vR/items/SVUZJ9J6"],"uri":["http://zotero.org/users/local/82XhB2vR/items/SVUZJ9J6"],"itemData":{"id":10,"type":"article-journal","title":"Immunohistochemical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M."}],"issued":{"date-parts":[["2016",8]]}}},{"id":25,"uris":["http://zotero.org/users/local/82XhB2vR/items/JYQBKUFE"],"uri":["http://zotero.org/users/local/82XhB2vR/items/JYQBKUFE"],"itemData":{"id":25,"type":"article-journal","title":"Breast cancer subtypes based on ER/PR and Her2 expression: comparison of clinicopathologic features and survival","container-title":"Clinical Medicine &amp; Research","page":"4-13","volume":"7","issue":"1-2","source":"PubMed","abstract":"OBJECTIVE: To compare the clinicopathologic features and survival in the four breast cancer subtypes defined by immunohistochemistry (IHC) expression of estrogen receptor (ER) or progesterone receptor (PR) and human epidermal growth factor receptor 2 (Her2): ER/PR+, Her2+; ER/PR+, Her2-; ER/PR-, Her2+; and ER/PR-, Her2-.\nMETHODS: A 7-year retrospective study of 1134 invasive breast cancer subjects. Clinical and pathologic features and survival of the four subtypes were compared.\nRESULTS: Using ER/PR+ and Her2- as a reference, ER/PR-, Her2- had the worst overall survival (hazard ratio, 1.8; 95% confidence interval [CI], 1.06-3.2) and the worst disease-free survival (hazard ratio, 1.5; 95% CI, 0.8-3.0). In ER/PR+, Her2-, chemotherapy conferred significant overall and disease-free survival advantages. Subtype comparison revealed statistically significant differences in outcomes.\nCONCLUSION: The triple negative subtype has the worst overall and disease free survival. Efforts should be directed at standardization of current testing methods and development of more reliable and reproducible testing.","DOI":"10.3121/cmr.2009.825","ISSN":"1554-6179","note":"PMID: 19574486\nPMCID: PMC2705275","shortTitle":"Breast cancer subtypes based on ER/PR and Her2 expression","journalAbbreviation":"Clin Med Res","language":"eng","author":[{"family":"Onitilo","given":"Adedayo A."},{"family":"Engel","given":"Jessica M."},{"family":"Greenlee","given":"Robert T."},{"family":"Mukesh","given":"Bickol N."}],"issued":{"date-parts":[["2009",6]]}}}],"schema":"https://github.com/citation-style-language/schema/raw/master/csl-citation.json"} </w:instrText>
      </w:r>
      <w:r w:rsidR="00550FFF">
        <w:rPr>
          <w:shd w:val="clear" w:color="auto" w:fill="FFFFFF"/>
        </w:rPr>
        <w:fldChar w:fldCharType="separate"/>
      </w:r>
      <w:r w:rsidR="001474C6">
        <w:rPr>
          <w:noProof/>
          <w:shd w:val="clear" w:color="auto" w:fill="FFFFFF"/>
        </w:rPr>
        <w:t>[7, 8]</w:t>
      </w:r>
      <w:r w:rsidR="00550FFF">
        <w:rPr>
          <w:shd w:val="clear" w:color="auto" w:fill="FFFFFF"/>
        </w:rPr>
        <w:fldChar w:fldCharType="end"/>
      </w:r>
      <w:r w:rsidR="00550FFF" w:rsidRPr="00550FFF">
        <w:rPr>
          <w:shd w:val="clear" w:color="auto" w:fill="FFFFFF"/>
        </w:rPr>
        <w:t>.</w:t>
      </w:r>
      <w:r w:rsidR="00A5499F">
        <w:rPr>
          <w:shd w:val="clear" w:color="auto" w:fill="FFFFFF"/>
        </w:rPr>
        <w:t xml:space="preserve"> </w:t>
      </w:r>
      <w:r w:rsidR="0027462F">
        <w:rPr>
          <w:shd w:val="clear" w:color="auto" w:fill="FFFFFF"/>
        </w:rPr>
        <w:t>O</w:t>
      </w:r>
      <w:r w:rsidR="0027462F" w:rsidRPr="0027462F">
        <w:rPr>
          <w:shd w:val="clear" w:color="auto" w:fill="FFFFFF"/>
        </w:rPr>
        <w:t xml:space="preserve">besity </w:t>
      </w:r>
      <w:r w:rsidR="0027462F">
        <w:rPr>
          <w:shd w:val="clear" w:color="auto" w:fill="FFFFFF"/>
        </w:rPr>
        <w:t>seem to be</w:t>
      </w:r>
      <w:r w:rsidR="0027462F" w:rsidRPr="0027462F">
        <w:rPr>
          <w:shd w:val="clear" w:color="auto" w:fill="FFFFFF"/>
        </w:rPr>
        <w:t xml:space="preserve"> associated with </w:t>
      </w:r>
      <w:r w:rsidR="00667B2A">
        <w:rPr>
          <w:shd w:val="clear" w:color="auto" w:fill="FFFFFF"/>
        </w:rPr>
        <w:t>hormone receptor status in BC patients</w:t>
      </w:r>
      <w:r w:rsidR="00DB5D87">
        <w:rPr>
          <w:shd w:val="clear" w:color="auto" w:fill="FFFFFF"/>
        </w:rPr>
        <w:t xml:space="preserve"> </w:t>
      </w:r>
      <w:r w:rsidR="00DB5D87">
        <w:rPr>
          <w:shd w:val="clear" w:color="auto" w:fill="FFFFFF"/>
        </w:rPr>
        <w:fldChar w:fldCharType="begin"/>
      </w:r>
      <w:r w:rsidR="00DB5D87">
        <w:rPr>
          <w:shd w:val="clear" w:color="auto" w:fill="FFFFFF"/>
        </w:rPr>
        <w:instrText xml:space="preserve"> ADDIN ZOTERO_ITEM CSL_CITATION {"citationID":"BtTa81tV","properties":{"formattedCitation":"[9]","plainCitation":"[9]","noteIndex":0},"citationItems":[{"id":27,"uris":["http://zotero.org/users/local/82XhB2vR/items/EQPANTLI"],"uri":["http://zotero.org/users/local/82XhB2vR/items/EQPANTLI"],"itemData":{"id":27,"type":"article-journal","title":"Obesity and inflammation: new insights into breast cancer development and progression","container-title":"American Society of Clinical Oncology Educational Book. American Society of Clinical Oncology. Meeting","page":"46-51","source":"PubMed","abstract":"The importance of inflammation in promoting carcinogenesis and tumor progression is well recognized. Chronic inflammation caused by a variety of infectious agents can lead to the development of several common malignancies. Similarly, inflammatory bowel disease is a well-known risk factor for colorectal cancer. Much less is known about the link between inflammation and the development of breast cancer. Recent data suggest that obesity causes both in-breast and systemic inflammation that contribute to the development and progression of breast cancer. This observation has potentially important implications in terms of prevention and treatment of breast cancer, especially given the rising worldwide overweight and obesity rates. Inflamed white adipose tissue (WAT) within the breast is associated with elevated levels of proinflammatory mediators, enhanced expression of aromatase (the rate-limiting enzyme for estrogen biosynthesis), and increased estrogen receptor-α (ER-α)-dependent gene expression. Systemic consequences of obesity including altered adipokine levels, elevated circulating estrogen levels, and insulin resistance are also believed to play a role in the pathogenesis of breast cancer. Collectively, these findings suggest a significant role for inflammation in the pathogenesis of breast cancer in obese and overweight patients.","DOI":"10.1200/EdBook_AM.2013.33.46","ISSN":"1548-8756","note":"PMID: 23714453\nPMCID: PMC3897299","shortTitle":"Obesity and inflammation","journalAbbreviation":"Am Soc Clin Oncol Educ Book","language":"eng","author":[{"family":"Iyengar","given":"Neil M."},{"family":"Hudis","given":"Clifford A."},{"family":"Dannenberg","given":"Andrew J."}],"issued":{"date-parts":[["2013"]]}}}],"schema":"https://github.com/citation-style-language/schema/raw/master/csl-citation.json"} </w:instrText>
      </w:r>
      <w:r w:rsidR="00DB5D87">
        <w:rPr>
          <w:shd w:val="clear" w:color="auto" w:fill="FFFFFF"/>
        </w:rPr>
        <w:fldChar w:fldCharType="separate"/>
      </w:r>
      <w:r w:rsidR="00DB5D87">
        <w:rPr>
          <w:noProof/>
          <w:shd w:val="clear" w:color="auto" w:fill="FFFFFF"/>
        </w:rPr>
        <w:t>[9]</w:t>
      </w:r>
      <w:r w:rsidR="00DB5D87">
        <w:rPr>
          <w:shd w:val="clear" w:color="auto" w:fill="FFFFFF"/>
        </w:rPr>
        <w:fldChar w:fldCharType="end"/>
      </w:r>
      <w:r w:rsidR="00DB5D87">
        <w:rPr>
          <w:shd w:val="clear" w:color="auto" w:fill="FFFFFF"/>
        </w:rPr>
        <w:t>.</w:t>
      </w:r>
      <w:r w:rsidR="0091139F">
        <w:rPr>
          <w:shd w:val="clear" w:color="auto" w:fill="FFFFFF"/>
        </w:rPr>
        <w:t xml:space="preserve"> </w:t>
      </w:r>
    </w:p>
    <w:p w14:paraId="7A04D15D" w14:textId="0675F293" w:rsidR="0091139F" w:rsidRDefault="0091139F" w:rsidP="000304E2">
      <w:pPr>
        <w:spacing w:line="480" w:lineRule="auto"/>
        <w:ind w:firstLine="720"/>
        <w:jc w:val="both"/>
        <w:rPr>
          <w:color w:val="000000" w:themeColor="text1"/>
        </w:rPr>
      </w:pPr>
      <w:r>
        <w:rPr>
          <w:color w:val="000000" w:themeColor="text1"/>
        </w:rPr>
        <w:t>This study has</w:t>
      </w:r>
      <w:r w:rsidRPr="00647190">
        <w:rPr>
          <w:color w:val="000000" w:themeColor="text1"/>
        </w:rPr>
        <w:t xml:space="preserve"> focused </w:t>
      </w:r>
      <w:r w:rsidR="00F659F0">
        <w:rPr>
          <w:color w:val="000000" w:themeColor="text1"/>
        </w:rPr>
        <w:t>to</w:t>
      </w:r>
      <w:r w:rsidRPr="00647190">
        <w:rPr>
          <w:color w:val="000000" w:themeColor="text1"/>
        </w:rPr>
        <w:t xml:space="preserve"> </w:t>
      </w:r>
      <w:r w:rsidR="00F659F0">
        <w:rPr>
          <w:color w:val="000000" w:themeColor="text1"/>
        </w:rPr>
        <w:t>analyzes</w:t>
      </w:r>
      <w:r w:rsidRPr="00647190">
        <w:rPr>
          <w:color w:val="000000" w:themeColor="text1"/>
        </w:rPr>
        <w:t xml:space="preserve"> of </w:t>
      </w:r>
      <w:r w:rsidR="005F5C0F">
        <w:rPr>
          <w:color w:val="000000" w:themeColor="text1"/>
        </w:rPr>
        <w:t>obesity</w:t>
      </w:r>
      <w:r w:rsidRPr="00647190">
        <w:rPr>
          <w:color w:val="000000" w:themeColor="text1"/>
        </w:rPr>
        <w:t xml:space="preserve"> </w:t>
      </w:r>
      <w:r>
        <w:rPr>
          <w:color w:val="000000" w:themeColor="text1"/>
        </w:rPr>
        <w:t xml:space="preserve">on </w:t>
      </w:r>
      <w:r>
        <w:rPr>
          <w:shd w:val="clear" w:color="auto" w:fill="FFFFFF"/>
        </w:rPr>
        <w:t>IHC-</w:t>
      </w:r>
      <w:r w:rsidRPr="00E257DE">
        <w:rPr>
          <w:shd w:val="clear" w:color="auto" w:fill="FFFFFF"/>
        </w:rPr>
        <w:t xml:space="preserve">surrogates </w:t>
      </w:r>
      <w:r w:rsidRPr="00647190">
        <w:rPr>
          <w:color w:val="000000" w:themeColor="text1"/>
        </w:rPr>
        <w:t>rather than survival</w:t>
      </w:r>
      <w:r>
        <w:rPr>
          <w:color w:val="000000" w:themeColor="text1"/>
        </w:rPr>
        <w:t xml:space="preserve"> to determine</w:t>
      </w:r>
      <w:r w:rsidRPr="0091139F">
        <w:rPr>
          <w:shd w:val="clear" w:color="auto" w:fill="FFFFFF"/>
        </w:rPr>
        <w:t xml:space="preserve"> </w:t>
      </w:r>
      <w:r w:rsidRPr="00E257DE">
        <w:rPr>
          <w:shd w:val="clear" w:color="auto" w:fill="FFFFFF"/>
        </w:rPr>
        <w:t xml:space="preserve">whether obesity has an impact on </w:t>
      </w:r>
      <w:r>
        <w:rPr>
          <w:shd w:val="clear" w:color="auto" w:fill="FFFFFF"/>
        </w:rPr>
        <w:t>these markers</w:t>
      </w:r>
      <w:r w:rsidRPr="00E257DE">
        <w:rPr>
          <w:shd w:val="clear" w:color="auto" w:fill="FFFFFF"/>
        </w:rPr>
        <w:t xml:space="preserve"> in </w:t>
      </w:r>
      <w:r>
        <w:rPr>
          <w:shd w:val="clear" w:color="auto" w:fill="FFFFFF"/>
        </w:rPr>
        <w:t>BC</w:t>
      </w:r>
      <w:r w:rsidRPr="00647190">
        <w:rPr>
          <w:color w:val="000000" w:themeColor="text1"/>
        </w:rPr>
        <w:t>.</w:t>
      </w:r>
    </w:p>
    <w:p w14:paraId="298DE574" w14:textId="77777777" w:rsidR="00DB6DC3" w:rsidRDefault="00DB6DC3" w:rsidP="000304E2">
      <w:pPr>
        <w:autoSpaceDE w:val="0"/>
        <w:autoSpaceDN w:val="0"/>
        <w:adjustRightInd w:val="0"/>
        <w:spacing w:line="480" w:lineRule="auto"/>
        <w:jc w:val="both"/>
        <w:outlineLvl w:val="0"/>
        <w:rPr>
          <w:b/>
          <w:shd w:val="clear" w:color="auto" w:fill="FFFFFF"/>
        </w:rPr>
      </w:pPr>
    </w:p>
    <w:p w14:paraId="6AC0A6FD" w14:textId="3C7A98D3" w:rsidR="00290729" w:rsidRDefault="00290729" w:rsidP="000304E2">
      <w:pPr>
        <w:autoSpaceDE w:val="0"/>
        <w:autoSpaceDN w:val="0"/>
        <w:adjustRightInd w:val="0"/>
        <w:spacing w:line="480" w:lineRule="auto"/>
        <w:outlineLvl w:val="0"/>
        <w:rPr>
          <w:b/>
          <w:shd w:val="clear" w:color="auto" w:fill="FFFFFF"/>
        </w:rPr>
      </w:pPr>
      <w:commentRangeStart xmlns:rel="http://schemas.openxmlformats.org/package/2006/relationships" w:id="15" xml:space="preserve"/>
      <w:r>
        <w:rPr>
          <w:b/>
          <w:shd w:val="clear" w:color="auto" w:fill="FFFFFF"/>
        </w:rPr>
        <w:t xml:space="preserve">Materials and Methods</w:t>
      </w:r>
    </w:p>
    <w:p w14:paraId="6EC7D338" w14:textId="7C497694" w:rsidR="0004724A" w:rsidRDefault="00B67EE7" w:rsidP="0004724A">
      <w:pPr>
        <w:autoSpaceDE w:val="0"/>
        <w:autoSpaceDN w:val="0"/>
        <w:adjustRightInd w:val="0"/>
        <w:spacing w:line="480" w:lineRule="auto"/>
        <w:ind w:firstLine="720"/>
        <w:jc w:val="both"/>
        <w:rPr>
          <w:shd w:val="clear" w:color="auto" w:fill="FFFFFF"/>
        </w:rPr>
      </w:pPr>
      <w:r w:rsidRPr="00B67EE7" xml:space="preserve">
        <w:rPr>
          <w:shd w:val="clear" w:color="auto" w:fill="FFFFFF"/>
        </w:rPr>
        <w:t xml:space="preserve"/>
      </w:r>
      <w:commentRangeEnd xmlns:rel="http://schemas.openxmlformats.org/package/2006/relationships" w:id="15" xml:space="preserve"/>
      <w:r>
        <w:rPr>
          <w:rStyle w:val="CommentReference"/>
        </w:rPr>
        <w:commentReference w:id="15"/>
      </w:r>
      <w:r w:rsidRPr="00B67EE7" xml:space="preserve">
        <w:rPr>
          <w:shd w:val="clear" w:color="auto" w:fill="FFFFFF"/>
        </w:rPr>
        <w:t xml:space="preserve">This descriptive and analytical retrospective study </w:t>
      </w:r>
      <w:r w:rsidR="00290729" w:rsidRPr="00290729">
        <w:rPr>
          <w:shd w:val="clear" w:color="auto" w:fill="FFFFFF"/>
        </w:rPr>
        <w:t xml:space="preserve">was conducted </w:t>
      </w:r>
      <w:r w:rsidR="00521040">
        <w:rPr>
          <w:shd w:val="clear" w:color="auto" w:fill="FFFFFF"/>
        </w:rPr>
        <w:t>in</w:t>
      </w:r>
      <w:r w:rsidR="00290729" w:rsidRPr="00290729">
        <w:rPr>
          <w:shd w:val="clear" w:color="auto" w:fill="FFFFFF"/>
        </w:rPr>
        <w:t xml:space="preserve"> </w:t>
      </w:r>
      <w:r w:rsidR="00521040">
        <w:rPr>
          <w:shd w:val="clear" w:color="auto" w:fill="FFFFFF"/>
        </w:rPr>
        <w:t>July</w:t>
      </w:r>
      <w:r w:rsidR="00290729" w:rsidRPr="00290729">
        <w:rPr>
          <w:shd w:val="clear" w:color="auto" w:fill="FFFFFF"/>
        </w:rPr>
        <w:t xml:space="preserve"> 201</w:t>
      </w:r>
      <w:r w:rsidR="00290729">
        <w:rPr>
          <w:shd w:val="clear" w:color="auto" w:fill="FFFFFF"/>
        </w:rPr>
        <w:t>8</w:t>
      </w:r>
      <w:r w:rsidR="00290729" w:rsidRPr="00290729">
        <w:rPr>
          <w:shd w:val="clear" w:color="auto" w:fill="FFFFFF"/>
        </w:rPr>
        <w:t xml:space="preserve"> and </w:t>
      </w:r>
      <w:r w:rsidR="00290729" w:rsidRPr="005F5C0F">
        <w:rPr>
          <w:color w:val="000000" w:themeColor="text1"/>
          <w:shd w:val="clear" w:color="auto" w:fill="FFFFFF"/>
        </w:rPr>
        <w:t xml:space="preserve">included </w:t>
      </w:r>
      <w:r w:rsidR="00BF1433" w:rsidRPr="005F5C0F">
        <w:rPr>
          <w:color w:val="000000" w:themeColor="text1"/>
        </w:rPr>
        <w:t>82</w:t>
      </w:r>
      <w:r w:rsidR="00290729" w:rsidRPr="005F5C0F">
        <w:rPr>
          <w:color w:val="000000" w:themeColor="text1"/>
        </w:rPr>
        <w:t xml:space="preserve"> </w:t>
      </w:r>
      <w:r w:rsidR="00BF1433" w:rsidRPr="005F5C0F">
        <w:rPr>
          <w:color w:val="000000" w:themeColor="text1"/>
        </w:rPr>
        <w:t>obese</w:t>
      </w:r>
      <w:r w:rsidR="00290729" w:rsidRPr="005F5C0F">
        <w:rPr>
          <w:color w:val="000000" w:themeColor="text1"/>
        </w:rPr>
        <w:t xml:space="preserve"> and </w:t>
      </w:r>
      <w:r w:rsidR="00BF1433" w:rsidRPr="005F5C0F">
        <w:rPr>
          <w:color w:val="000000" w:themeColor="text1"/>
        </w:rPr>
        <w:t>124</w:t>
      </w:r>
      <w:r w:rsidR="00290729" w:rsidRPr="005F5C0F">
        <w:rPr>
          <w:color w:val="000000" w:themeColor="text1"/>
        </w:rPr>
        <w:t xml:space="preserve"> </w:t>
      </w:r>
      <w:r w:rsidR="00BF1433" w:rsidRPr="005F5C0F">
        <w:rPr>
          <w:color w:val="000000" w:themeColor="text1"/>
        </w:rPr>
        <w:t xml:space="preserve">non-obese </w:t>
      </w:r>
      <w:r w:rsidR="00BF1433">
        <w:t>BC</w:t>
      </w:r>
      <w:r w:rsidR="00290729">
        <w:t xml:space="preserve"> </w:t>
      </w:r>
      <w:r w:rsidR="002B76D0">
        <w:rPr>
          <w:shd w:val="clear" w:color="auto" w:fill="FFFFFF"/>
        </w:rPr>
        <w:t xml:space="preserve">patients older than 18 years. Patients were selected </w:t>
      </w:r>
      <w:r w:rsidR="00652D05" w:rsidRPr="00290729">
        <w:rPr>
          <w:shd w:val="clear" w:color="auto" w:fill="FFFFFF"/>
        </w:rPr>
        <w:t xml:space="preserve">consecutively (selected regardless of type and stage of the disease) </w:t>
      </w:r>
      <w:r w:rsidR="002B76D0">
        <w:rPr>
          <w:shd w:val="clear" w:color="auto" w:fill="FFFFFF"/>
        </w:rPr>
        <w:t xml:space="preserve">who </w:t>
      </w:r>
      <w:r w:rsidR="00652D05" w:rsidRPr="00290729">
        <w:rPr>
          <w:shd w:val="clear" w:color="auto" w:fill="FFFFFF"/>
        </w:rPr>
        <w:t xml:space="preserve">admitted to our oncology clinic </w:t>
      </w:r>
      <w:r w:rsidR="00290729" w:rsidRPr="00290729">
        <w:rPr>
          <w:shd w:val="clear" w:color="auto" w:fill="FFFFFF"/>
        </w:rPr>
        <w:t xml:space="preserve">with newly diagnosed BC </w:t>
      </w:r>
      <w:r w:rsidR="00521040">
        <w:rPr>
          <w:shd w:val="clear" w:color="auto" w:fill="FFFFFF"/>
        </w:rPr>
        <w:t xml:space="preserve">in between </w:t>
      </w:r>
      <w:r w:rsidR="000C0FE7">
        <w:rPr>
          <w:shd w:val="clear" w:color="auto" w:fill="FFFFFF"/>
        </w:rPr>
        <w:t>January 2012 and July 2013</w:t>
      </w:r>
      <w:r w:rsidR="00290729" w:rsidRPr="00290729">
        <w:rPr>
          <w:shd w:val="clear" w:color="auto" w:fill="FFFFFF"/>
        </w:rPr>
        <w:t xml:space="preserve">. The diagnosis was established based on clinical, radiological, and histopathological features. </w:t>
      </w:r>
      <w:commentRangeStart xmlns:rel="http://schemas.openxmlformats.org/package/2006/relationships" w:id="14" xml:space="preserve"/>
      <w:r w:rsidR="0004724A" w:rsidRPr="0004724A">
        <w:rPr>
          <w:shd w:val="clear" w:color="auto" w:fill="FFFFFF"/>
        </w:rPr>
        <w:t xml:space="preserve">This study was approved by </w:t>
      </w:r>
      <w:r w:rsidR="0004724A">
        <w:rPr>
          <w:shd w:val="clear" w:color="auto" w:fill="FFFFFF"/>
        </w:rPr>
        <w:t xml:space="preserve">our </w:t>
      </w:r>
      <w:r w:rsidR="0004724A" w:rsidRPr="0004724A">
        <w:rPr>
          <w:shd w:val="clear" w:color="auto" w:fill="FFFFFF"/>
        </w:rPr>
        <w:t>institutional ethical committee</w:t>
      </w:r>
      <w:r w:rsidR="0004724A" xml:space="preserve">
        <w:rPr>
          <w:shd w:val="clear" w:color="auto" w:fill="FFFFFF"/>
        </w:rPr>
        <w:t/>
      </w:r>
      <w:commentRangeEnd xmlns:rel="http://schemas.openxmlformats.org/package/2006/relationships" w:id="14" xml:space="preserve"/>
      <w:r>
        <w:rPr>
          <w:rStyle w:val="CommentReference"/>
        </w:rPr>
        <w:commentReference w:id="14"/>
      </w:r>
      <w:r w:rsidR="0004724A" xml:space="preserve">
        <w:rPr>
          <w:shd w:val="clear" w:color="auto" w:fill="FFFFFF"/>
        </w:rPr>
        <w:t xml:space="preserve">.</w:t>
      </w:r>
    </w:p>
    <w:p w14:paraId="43EB29D0" w14:textId="437A21C2" w:rsidR="002B76D0" w:rsidRDefault="00290729" w:rsidP="000304E2">
      <w:pPr>
        <w:autoSpaceDE w:val="0"/>
        <w:autoSpaceDN w:val="0"/>
        <w:adjustRightInd w:val="0"/>
        <w:spacing w:line="480" w:lineRule="auto"/>
        <w:ind w:firstLine="720"/>
        <w:jc w:val="both"/>
        <w:rPr>
          <w:shd w:val="clear" w:color="auto" w:fill="FFFFFF"/>
        </w:rPr>
      </w:pPr>
      <w:r w:rsidRPr="00290729">
        <w:rPr>
          <w:shd w:val="clear" w:color="auto" w:fill="FFFFFF"/>
        </w:rPr>
        <w:t xml:space="preserve">Exclusion criteria were as follows: Having another tumor </w:t>
      </w:r>
      <w:r>
        <w:rPr>
          <w:shd w:val="clear" w:color="auto" w:fill="FFFFFF"/>
        </w:rPr>
        <w:t xml:space="preserve">at the time of </w:t>
      </w:r>
      <w:r w:rsidRPr="00290729">
        <w:rPr>
          <w:shd w:val="clear" w:color="auto" w:fill="FFFFFF"/>
        </w:rPr>
        <w:t>diagnosis, taking systemic chemotherapy</w:t>
      </w:r>
      <w:r w:rsidR="00454264">
        <w:rPr>
          <w:shd w:val="clear" w:color="auto" w:fill="FFFFFF"/>
        </w:rPr>
        <w:t xml:space="preserve"> for any reason before</w:t>
      </w:r>
      <w:r w:rsidRPr="00290729">
        <w:rPr>
          <w:shd w:val="clear" w:color="auto" w:fill="FFFFFF"/>
        </w:rPr>
        <w:t xml:space="preserve">, surgical intervention for BC before referral to our oncology clinic, male patients with BC, dysregulated diabetes mellitus, kidney disease, cardiovascular disease, rheumatological diseases, </w:t>
      </w:r>
      <w:r w:rsidR="00E8111A">
        <w:rPr>
          <w:shd w:val="clear" w:color="auto" w:fill="FFFFFF"/>
        </w:rPr>
        <w:t xml:space="preserve">pregnancy, </w:t>
      </w:r>
      <w:r w:rsidRPr="00290729">
        <w:rPr>
          <w:shd w:val="clear" w:color="auto" w:fill="FFFFFF"/>
        </w:rPr>
        <w:t xml:space="preserve">and undergoing treatment for BC. </w:t>
      </w:r>
    </w:p>
    <w:p w14:paraId="19F4E4CD" w14:textId="091D4E59" w:rsidR="00C278F3" w:rsidRDefault="00290729" w:rsidP="000304E2">
      <w:pPr>
        <w:spacing w:line="480" w:lineRule="auto"/>
        <w:ind w:firstLine="720"/>
        <w:jc w:val="both"/>
        <w:rPr>
          <w:shd w:val="clear" w:color="auto" w:fill="FFFFFF"/>
        </w:rPr>
      </w:pPr>
      <w:r w:rsidRPr="00290729">
        <w:rPr>
          <w:shd w:val="clear" w:color="auto" w:fill="FFFFFF"/>
        </w:rPr>
        <w:t xml:space="preserve">Patients’ history and physical examination </w:t>
      </w:r>
      <w:r w:rsidR="00E736A6">
        <w:rPr>
          <w:shd w:val="clear" w:color="auto" w:fill="FFFFFF"/>
        </w:rPr>
        <w:t xml:space="preserve">results, </w:t>
      </w:r>
      <w:r w:rsidR="002B76D0">
        <w:rPr>
          <w:shd w:val="clear" w:color="auto" w:fill="FFFFFF"/>
        </w:rPr>
        <w:t xml:space="preserve">clinicopathological features including </w:t>
      </w:r>
      <w:r w:rsidRPr="00290729">
        <w:rPr>
          <w:shd w:val="clear" w:color="auto" w:fill="FFFFFF"/>
        </w:rPr>
        <w:t>age, wei</w:t>
      </w:r>
      <w:r w:rsidR="002B76D0">
        <w:rPr>
          <w:shd w:val="clear" w:color="auto" w:fill="FFFFFF"/>
        </w:rPr>
        <w:t>ght, height, menopausal status</w:t>
      </w:r>
      <w:r w:rsidRPr="00290729">
        <w:rPr>
          <w:shd w:val="clear" w:color="auto" w:fill="FFFFFF"/>
        </w:rPr>
        <w:t>, histopathological type, grade, tumor size, lymph node metastasis, stage</w:t>
      </w:r>
      <w:r w:rsidR="00435D65">
        <w:rPr>
          <w:shd w:val="clear" w:color="auto" w:fill="FFFFFF"/>
        </w:rPr>
        <w:t xml:space="preserve">, estrogen receptor (ER), progesterone receptor (PR), </w:t>
      </w:r>
      <w:r w:rsidRPr="00290729">
        <w:rPr>
          <w:shd w:val="clear" w:color="auto" w:fill="FFFFFF"/>
        </w:rPr>
        <w:t>human epid</w:t>
      </w:r>
      <w:r w:rsidR="00435D65">
        <w:rPr>
          <w:shd w:val="clear" w:color="auto" w:fill="FFFFFF"/>
        </w:rPr>
        <w:t>ermal growth factor receptor 2 (HER2)</w:t>
      </w:r>
      <w:r w:rsidRPr="00290729">
        <w:rPr>
          <w:shd w:val="clear" w:color="auto" w:fill="FFFFFF"/>
        </w:rPr>
        <w:t>, lymphovascular invas</w:t>
      </w:r>
      <w:r w:rsidR="002B76D0">
        <w:rPr>
          <w:shd w:val="clear" w:color="auto" w:fill="FFFFFF"/>
        </w:rPr>
        <w:t>ion</w:t>
      </w:r>
      <w:r w:rsidR="00435D65">
        <w:rPr>
          <w:shd w:val="clear" w:color="auto" w:fill="FFFFFF"/>
        </w:rPr>
        <w:t xml:space="preserve"> (LVI)</w:t>
      </w:r>
      <w:r w:rsidR="002B76D0">
        <w:rPr>
          <w:shd w:val="clear" w:color="auto" w:fill="FFFFFF"/>
        </w:rPr>
        <w:t>,</w:t>
      </w:r>
      <w:r w:rsidR="00435D65">
        <w:rPr>
          <w:shd w:val="clear" w:color="auto" w:fill="FFFFFF"/>
        </w:rPr>
        <w:t xml:space="preserve"> and</w:t>
      </w:r>
      <w:r w:rsidR="002B76D0">
        <w:rPr>
          <w:shd w:val="clear" w:color="auto" w:fill="FFFFFF"/>
        </w:rPr>
        <w:t xml:space="preserve"> perineural invasion</w:t>
      </w:r>
      <w:r w:rsidR="00435D65">
        <w:rPr>
          <w:shd w:val="clear" w:color="auto" w:fill="FFFFFF"/>
        </w:rPr>
        <w:t xml:space="preserve"> (PNI)</w:t>
      </w:r>
      <w:r w:rsidR="002B76D0">
        <w:rPr>
          <w:shd w:val="clear" w:color="auto" w:fill="FFFFFF"/>
        </w:rPr>
        <w:t xml:space="preserve"> status</w:t>
      </w:r>
      <w:r w:rsidRPr="00290729">
        <w:rPr>
          <w:shd w:val="clear" w:color="auto" w:fill="FFFFFF"/>
        </w:rPr>
        <w:t xml:space="preserve"> were</w:t>
      </w:r>
      <w:r w:rsidR="00E736A6">
        <w:rPr>
          <w:shd w:val="clear" w:color="auto" w:fill="FFFFFF"/>
        </w:rPr>
        <w:t xml:space="preserve"> obtained from patients’ records</w:t>
      </w:r>
      <w:r w:rsidR="000678C1">
        <w:rPr>
          <w:shd w:val="clear" w:color="auto" w:fill="FFFFFF"/>
        </w:rPr>
        <w:t xml:space="preserve">. </w:t>
      </w:r>
      <w:r w:rsidR="00C278F3" w:rsidRPr="00C278F3">
        <w:rPr>
          <w:shd w:val="clear" w:color="auto" w:fill="FFFFFF"/>
        </w:rPr>
        <w:t xml:space="preserve">The information of the </w:t>
      </w:r>
      <w:r w:rsidR="00C278F3">
        <w:rPr>
          <w:shd w:val="clear" w:color="auto" w:fill="FFFFFF"/>
        </w:rPr>
        <w:t xml:space="preserve">mortality </w:t>
      </w:r>
      <w:r w:rsidR="00C278F3" w:rsidRPr="00C278F3">
        <w:rPr>
          <w:shd w:val="clear" w:color="auto" w:fill="FFFFFF"/>
        </w:rPr>
        <w:t>was gathered from National Death Certificate System (NDCS).</w:t>
      </w:r>
    </w:p>
    <w:p w14:paraId="4B63532C" w14:textId="2BB905B7" w:rsidR="00290729" w:rsidRDefault="004C2AAC" w:rsidP="000304E2">
      <w:pPr>
        <w:autoSpaceDE w:val="0"/>
        <w:autoSpaceDN w:val="0"/>
        <w:adjustRightInd w:val="0"/>
        <w:spacing w:line="480" w:lineRule="auto"/>
        <w:ind w:firstLine="720"/>
        <w:jc w:val="both"/>
        <w:rPr>
          <w:shd w:val="clear" w:color="auto" w:fill="FFFFFF"/>
        </w:rPr>
      </w:pPr>
      <w:r w:rsidRPr="004C2AAC">
        <w:rPr>
          <w:shd w:val="clear" w:color="auto" w:fill="FFFFFF"/>
        </w:rPr>
        <w:t>In order to classify BC, immunohistochemical surrogates (ER, PR, HER2) were used and BC was divided into luminal A, luminal B, HER2, triple-negative and triple-positive subtypes</w:t>
      </w:r>
      <w:r>
        <w:rPr>
          <w:shd w:val="clear" w:color="auto" w:fill="FFFFFF"/>
        </w:rPr>
        <w:t xml:space="preserve"> </w:t>
      </w:r>
      <w:r>
        <w:rPr>
          <w:shd w:val="clear" w:color="auto" w:fill="FFFFFF"/>
        </w:rPr>
        <w:fldChar w:fldCharType="begin"/>
      </w:r>
      <w:r w:rsidR="00DF2F20">
        <w:rPr>
          <w:shd w:val="clear" w:color="auto" w:fill="FFFFFF"/>
        </w:rPr>
        <w:instrText xml:space="preserve"> ADDIN ZOTERO_ITEM CSL_CITATION {"citationID":"LsNynuA9","properties":{"formattedCitation":"[7]","plainCitation":"[7]","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M."}],"issued":{"date-parts":[["2016",8]]}}}],"schema":"https://github.com/citation-style-language/schema/raw/master/csl-citation.json"} </w:instrText>
      </w:r>
      <w:r>
        <w:rPr>
          <w:shd w:val="clear" w:color="auto" w:fill="FFFFFF"/>
        </w:rPr>
        <w:fldChar w:fldCharType="separate"/>
      </w:r>
      <w:r w:rsidR="00DF2F20">
        <w:rPr>
          <w:noProof/>
          <w:shd w:val="clear" w:color="auto" w:fill="FFFFFF"/>
        </w:rPr>
        <w:t>[7]</w:t>
      </w:r>
      <w:r>
        <w:rPr>
          <w:shd w:val="clear" w:color="auto" w:fill="FFFFFF"/>
        </w:rPr>
        <w:fldChar w:fldCharType="end"/>
      </w:r>
      <w:r w:rsidRPr="004C2AAC">
        <w:rPr>
          <w:shd w:val="clear" w:color="auto" w:fill="FFFFFF"/>
        </w:rPr>
        <w:t xml:space="preserve">. </w:t>
      </w:r>
      <w:r w:rsidR="002B76D0" w:rsidRPr="002B76D0">
        <w:rPr>
          <w:shd w:val="clear" w:color="auto" w:fill="FFFFFF"/>
        </w:rPr>
        <w:t>Luminal A was defined as ER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PR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HER2</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luminal B was defined as ER</w:t>
      </w:r>
      <w:r>
        <w:rPr>
          <w:shd w:val="clear" w:color="auto" w:fill="FFFFFF"/>
        </w:rPr>
        <w:t xml:space="preserve"> (</w:t>
      </w:r>
      <w:r w:rsidR="002B76D0" w:rsidRPr="002B76D0">
        <w:rPr>
          <w:shd w:val="clear" w:color="auto" w:fill="FFFFFF"/>
        </w:rPr>
        <w:t>+</w:t>
      </w:r>
      <w:r>
        <w:rPr>
          <w:shd w:val="clear" w:color="auto" w:fill="FFFFFF"/>
        </w:rPr>
        <w:t>)</w:t>
      </w:r>
      <w:r w:rsidR="007F49AF">
        <w:rPr>
          <w:shd w:val="clear" w:color="auto" w:fill="FFFFFF"/>
        </w:rPr>
        <w:t xml:space="preserve"> and/or</w:t>
      </w:r>
      <w:r w:rsidR="002B76D0" w:rsidRPr="002B76D0">
        <w:rPr>
          <w:shd w:val="clear" w:color="auto" w:fill="FFFFFF"/>
        </w:rPr>
        <w:t xml:space="preserve"> PR</w:t>
      </w:r>
      <w:r>
        <w:rPr>
          <w:shd w:val="clear" w:color="auto" w:fill="FFFFFF"/>
        </w:rPr>
        <w:t xml:space="preserve"> (</w:t>
      </w:r>
      <w:r w:rsidR="007F49AF">
        <w:rPr>
          <w:shd w:val="clear" w:color="auto" w:fill="FFFFFF"/>
        </w:rPr>
        <w:t>+</w:t>
      </w:r>
      <w:r>
        <w:rPr>
          <w:shd w:val="clear" w:color="auto" w:fill="FFFFFF"/>
        </w:rPr>
        <w:t>)</w:t>
      </w:r>
      <w:r w:rsidR="002B76D0" w:rsidRPr="002B76D0">
        <w:rPr>
          <w:shd w:val="clear" w:color="auto" w:fill="FFFFFF"/>
        </w:rPr>
        <w:t xml:space="preserve">, </w:t>
      </w:r>
      <w:r w:rsidR="007F49AF">
        <w:rPr>
          <w:shd w:val="clear" w:color="auto" w:fill="FFFFFF"/>
        </w:rPr>
        <w:t xml:space="preserve">and </w:t>
      </w:r>
      <w:r w:rsidR="002B76D0" w:rsidRPr="002B76D0">
        <w:rPr>
          <w:shd w:val="clear" w:color="auto" w:fill="FFFFFF"/>
        </w:rPr>
        <w:t>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 like</w:t>
      </w:r>
      <w:r w:rsidR="002B76D0">
        <w:rPr>
          <w:shd w:val="clear" w:color="auto" w:fill="FFFFFF"/>
        </w:rPr>
        <w:t xml:space="preserve"> </w:t>
      </w:r>
      <w:r w:rsidR="002B76D0" w:rsidRPr="002B76D0">
        <w:rPr>
          <w:shd w:val="clear" w:color="auto" w:fill="FFFFFF"/>
        </w:rPr>
        <w:t>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w:t>
      </w:r>
      <w:r w:rsidR="007F49AF">
        <w:rPr>
          <w:shd w:val="clear" w:color="auto" w:fill="FFFFFF"/>
        </w:rPr>
        <w:t xml:space="preserve"> </w:t>
      </w:r>
      <w:r w:rsidR="001679A9">
        <w:rPr>
          <w:shd w:val="clear" w:color="auto" w:fill="FFFFFF"/>
        </w:rPr>
        <w:t>triple-negative</w:t>
      </w:r>
      <w:r w:rsidR="002B76D0" w:rsidRPr="002B76D0">
        <w:rPr>
          <w:shd w:val="clear" w:color="auto" w:fill="FFFFFF"/>
        </w:rPr>
        <w:t xml:space="preserve"> 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 and triple-positive</w:t>
      </w:r>
      <w:r w:rsidR="007F49AF" w:rsidRPr="002B76D0">
        <w:rPr>
          <w:shd w:val="clear" w:color="auto" w:fill="FFFFFF"/>
        </w:rPr>
        <w:t xml:space="preserve"> tumor was defined as ER</w:t>
      </w:r>
      <w:r w:rsidR="007F49AF">
        <w:rPr>
          <w:shd w:val="clear" w:color="auto" w:fill="FFFFFF"/>
        </w:rPr>
        <w:t xml:space="preserve"> (+)</w:t>
      </w:r>
      <w:r w:rsidR="007F49AF" w:rsidRPr="002B76D0">
        <w:rPr>
          <w:shd w:val="clear" w:color="auto" w:fill="FFFFFF"/>
        </w:rPr>
        <w:t>, PR</w:t>
      </w:r>
      <w:r w:rsidR="007F49AF">
        <w:rPr>
          <w:shd w:val="clear" w:color="auto" w:fill="FFFFFF"/>
        </w:rPr>
        <w:t xml:space="preserve"> (+)</w:t>
      </w:r>
      <w:r w:rsidR="007F49AF" w:rsidRPr="002B76D0">
        <w:rPr>
          <w:shd w:val="clear" w:color="auto" w:fill="FFFFFF"/>
        </w:rPr>
        <w:t>, HER2</w:t>
      </w:r>
      <w:r w:rsidR="007F49AF">
        <w:rPr>
          <w:shd w:val="clear" w:color="auto" w:fill="FFFFFF"/>
        </w:rPr>
        <w:t xml:space="preserve"> (+)</w:t>
      </w:r>
      <w:r w:rsidR="002B76D0" w:rsidRPr="002B76D0">
        <w:rPr>
          <w:shd w:val="clear" w:color="auto" w:fill="FFFFFF"/>
        </w:rPr>
        <w:t>.</w:t>
      </w:r>
      <w:r w:rsidR="002B76D0">
        <w:rPr>
          <w:shd w:val="clear" w:color="auto" w:fill="FFFFFF"/>
        </w:rPr>
        <w:t xml:space="preserve"> </w:t>
      </w:r>
      <w:r w:rsidR="002B76D0" w:rsidRPr="002B76D0">
        <w:rPr>
          <w:shd w:val="clear" w:color="auto" w:fill="FFFFFF"/>
        </w:rPr>
        <w:t xml:space="preserve">The pathological tumor stage was defined according to the </w:t>
      </w:r>
      <w:r w:rsidR="00387219">
        <w:rPr>
          <w:shd w:val="clear" w:color="auto" w:fill="FFFFFF"/>
        </w:rPr>
        <w:t>eight</w:t>
      </w:r>
      <w:r w:rsidR="002B76D0" w:rsidRPr="002B76D0">
        <w:rPr>
          <w:shd w:val="clear" w:color="auto" w:fill="FFFFFF"/>
        </w:rPr>
        <w:t xml:space="preserve"> edition of the tumor</w:t>
      </w:r>
      <w:r w:rsidR="002B76D0" w:rsidRPr="002B76D0">
        <w:rPr>
          <w:rFonts w:ascii="Calibri" w:eastAsia="Calibri" w:hAnsi="Calibri" w:cs="Calibri"/>
          <w:shd w:val="clear" w:color="auto" w:fill="FFFFFF"/>
        </w:rPr>
        <w:t>‑</w:t>
      </w:r>
      <w:r w:rsidR="002B76D0" w:rsidRPr="002B76D0">
        <w:rPr>
          <w:shd w:val="clear" w:color="auto" w:fill="FFFFFF"/>
        </w:rPr>
        <w:t>node</w:t>
      </w:r>
      <w:r w:rsidR="002B76D0" w:rsidRPr="002B76D0">
        <w:rPr>
          <w:rFonts w:ascii="Calibri" w:eastAsia="Calibri" w:hAnsi="Calibri" w:cs="Calibri"/>
          <w:shd w:val="clear" w:color="auto" w:fill="FFFFFF"/>
        </w:rPr>
        <w:t>‑</w:t>
      </w:r>
      <w:r w:rsidR="002B76D0" w:rsidRPr="002B76D0">
        <w:rPr>
          <w:shd w:val="clear" w:color="auto" w:fill="FFFFFF"/>
        </w:rPr>
        <w:t xml:space="preserve">metastasis classification of the </w:t>
      </w:r>
      <w:r w:rsidR="00387219">
        <w:rPr>
          <w:shd w:val="clear" w:color="auto" w:fill="FFFFFF"/>
        </w:rPr>
        <w:t>UICC and WHO</w:t>
      </w:r>
      <w:r w:rsidR="003E3874">
        <w:rPr>
          <w:shd w:val="clear" w:color="auto" w:fill="FFFFFF"/>
        </w:rPr>
        <w:t xml:space="preserve"> </w:t>
      </w:r>
      <w:r w:rsidR="00387219">
        <w:rPr>
          <w:shd w:val="clear" w:color="auto" w:fill="FFFFFF"/>
        </w:rPr>
        <w:fldChar w:fldCharType="begin"/>
      </w:r>
      <w:r w:rsidR="00DB5D87">
        <w:rPr>
          <w:shd w:val="clear" w:color="auto" w:fill="FFFFFF"/>
        </w:rPr>
        <w:instrText xml:space="preserve"> ADDIN ZOTERO_ITEM CSL_CITATION {"citationID":"J9s7cXTQ","properties":{"formattedCitation":"[10, 11]","plainCitation":"[10, 11]","noteIndex":0},"citationItems":[{"id":12,"uris":["http://zotero.org/users/local/82XhB2vR/items/WASBVH52"],"uri":["http://zotero.org/users/local/82XhB2vR/items/WASBVH52"],"itemData":{"id":12,"type":"book","title":"TNM Classification of Malignant Tumours","publisher":"John Wiley &amp; Sons","number-of-pages":"272","source":"Google Books","abstract":"PTNM Pathological Classification -- Stage -- T NM Clinical Classification -- pTNM Pathological Classification -- Stage -- TNM Clinical Classification -- pTNM Pathological Classification -- Stage -- Prognostic Factors Grid - Cervical Nodes Unknown Primary -- Malignant Melanoma of Upper Aerodigestive Tract -- Rules for Classification -- Regional Lymph Nodes -- TNM Clinical Classification -- pTNM Pathological Classification -- Stage -- Major Salivary Glands -- Rules for Classification -- Anatomical Sites -- Regional Lymph Nodes -- TNM Clinical Classification -- pTNM Pathological Classification -- Stage -- Prognostic Factors Grid - Major Salivary Glands -- Thyroid Gland -- Rules for Classification -- Regional Lymph Nodes -- TNM Clinical Classification -- pTNM Pathological Classification -- Stage -- Prognostic Factor Grid - Papillary and Follicular Thyroid Carcinoma -- Prognostic Factor Grid - Medullary Cancer -- Digestive System Tumours -- Oesophagus -- Rules for Classification -- Anatomical Subsites -- Regional Lymph Nodes -- TNM Clinical Classification -- pTNM Pathological Classification -- Stage and Prognostic Group - Carcinomas of the Oesophagus and Oesophagogastric Junction -- Prognostic Factors Grid - Oesophagus -- Stomach -- Rules for Classification -- Anatomical Subsites -- Regional Lymph Nodes -- TNM Clinical Classification -- pTNM Pathological Classification -- Prognostic Factor Grid - Stomach -- Reference -- Small Intestine -- Rules for Classification -- Anatomical Subsites -- Regional Lymph Nodes -- TNM Clinical Classification -- pTNM Pathological Classification -- Stage -- Appendix -- Rules for Classification -- Anatomical Site -- Regional Lymph Nodes -- TNM Clinical Classification -- pTNM Pathological Classification -- Stage -- Colon and Rectum -- Rules for Classification -- Anatomical Sites and Subsites -- Regional Lymph Nodes","ISBN":"978-1-119-26357-9","note":"Google-Books-ID: 642GDQAAQBAJ","language":"en","author":[{"family":"Gospodarowicz","given":"Mary K."},{"family":"Brierley","given":"James D."},{"family":"Wittekind","given":"Christian"}],"issued":{"date-parts":[["2017",1,17]]}}},{"id":9,"uris":["http://zotero.org/users/local/82XhB2vR/items/PN5SFTEG"],"uri":["http://zotero.org/users/local/82XhB2vR/items/PN5SFTEG"],"itemData":{"id":9,"type":"article-journal","title":"Tavassoli FA, Devilee P: Pathology and Genetics: Tumours of the Breast and Female Genital Organs. WHO Classification of Tumours series - volume IV. Lyon, France: IARC Press: 2003. 250pp. ISBN 92 832 2412 4","container-title":"Breast Cancer Research","volume":"6","issue":"3","source":"Crossref","URL":"http://breast-cancer-research.biomedcentral.com/articles/10.1186/bcr788","DOI":"10.1186/bcr788","ISSN":"1465-542X","shortTitle":"Tavassoli FA, Devilee P","language":"en","author":[{"family":"Hanby","given":"Andrew M"},{"family":"walker","given":"Clare"}],"issued":{"date-parts":[["2004",6]]},"accessed":{"date-parts":[["2018",8,26]]}}}],"schema":"https://github.com/citation-style-language/schema/raw/master/csl-citation.json"} </w:instrText>
      </w:r>
      <w:r w:rsidR="00387219">
        <w:rPr>
          <w:shd w:val="clear" w:color="auto" w:fill="FFFFFF"/>
        </w:rPr>
        <w:fldChar w:fldCharType="separate"/>
      </w:r>
      <w:r w:rsidR="00DB5D87">
        <w:rPr>
          <w:noProof/>
          <w:shd w:val="clear" w:color="auto" w:fill="FFFFFF"/>
        </w:rPr>
        <w:t>[10, 11]</w:t>
      </w:r>
      <w:r w:rsidR="00387219">
        <w:rPr>
          <w:shd w:val="clear" w:color="auto" w:fill="FFFFFF"/>
        </w:rPr>
        <w:fldChar w:fldCharType="end"/>
      </w:r>
      <w:r w:rsidR="002B76D0" w:rsidRPr="002B76D0">
        <w:rPr>
          <w:shd w:val="clear" w:color="auto" w:fill="FFFFFF"/>
        </w:rPr>
        <w:t xml:space="preserve">. </w:t>
      </w:r>
      <w:r w:rsidR="002B76D0" w:rsidRPr="002B76D0">
        <w:rPr>
          <w:shd w:val="clear" w:color="auto" w:fill="FFFFFF"/>
        </w:rPr>
        <w:lastRenderedPageBreak/>
        <w:t>Tumor size was classified as T1 (2 cm), T2 (2–5 cm), or T3 (&gt;5 cm); both tumor size and lymph node metastasis status were evaluated separately.</w:t>
      </w:r>
    </w:p>
    <w:p w14:paraId="573C2F45" w14:textId="7B71407A" w:rsidR="00204BA9" w:rsidRDefault="00696D7D" w:rsidP="000304E2">
      <w:pPr>
        <w:autoSpaceDE w:val="0"/>
        <w:autoSpaceDN w:val="0"/>
        <w:adjustRightInd w:val="0"/>
        <w:spacing w:line="480" w:lineRule="auto"/>
        <w:ind w:firstLine="720"/>
        <w:jc w:val="both"/>
        <w:rPr>
          <w:shd w:val="clear" w:color="auto" w:fill="FFFFFF"/>
        </w:rPr>
      </w:pPr>
      <w:r w:rsidRPr="00696D7D">
        <w:rPr>
          <w:shd w:val="clear" w:color="auto" w:fill="FFFFFF"/>
        </w:rPr>
        <w:t>The BMI calculated as weight in kilograms divided by the square of the height in meters.</w:t>
      </w:r>
      <w:r>
        <w:rPr>
          <w:shd w:val="clear" w:color="auto" w:fill="FFFFFF"/>
        </w:rPr>
        <w:t xml:space="preserve"> </w:t>
      </w:r>
      <w:r w:rsidR="0041734D" w:rsidRPr="0041734D">
        <w:rPr>
          <w:shd w:val="clear" w:color="auto" w:fill="FFFFFF"/>
        </w:rPr>
        <w:t>Obesity was defined a</w:t>
      </w:r>
      <w:r>
        <w:rPr>
          <w:shd w:val="clear" w:color="auto" w:fill="FFFFFF"/>
        </w:rPr>
        <w:t>s a body-mass index of 30 kg/m</w:t>
      </w:r>
      <w:r>
        <w:rPr>
          <w:shd w:val="clear" w:color="auto" w:fill="FFFFFF"/>
          <w:vertAlign w:val="superscript"/>
        </w:rPr>
        <w:t>2</w:t>
      </w:r>
      <w:r w:rsidR="0041734D" w:rsidRPr="0041734D">
        <w:rPr>
          <w:shd w:val="clear" w:color="auto" w:fill="FFFFFF"/>
        </w:rPr>
        <w:t xml:space="preserve"> or greater according to the recommendation of WHO</w:t>
      </w:r>
      <w:r w:rsidR="003B00FF">
        <w:rPr>
          <w:shd w:val="clear" w:color="auto" w:fill="FFFFFF"/>
        </w:rPr>
        <w:t xml:space="preserve"> </w:t>
      </w:r>
      <w:r w:rsidR="003B00FF">
        <w:rPr>
          <w:shd w:val="clear" w:color="auto" w:fill="FFFFFF"/>
        </w:rPr>
        <w:fldChar w:fldCharType="begin"/>
      </w:r>
      <w:r w:rsidR="00DB5D87">
        <w:rPr>
          <w:shd w:val="clear" w:color="auto" w:fill="FFFFFF"/>
        </w:rPr>
        <w:instrText xml:space="preserve"> ADDIN ZOTERO_ITEM CSL_CITATION {"citationID":"xRZ8wJmY","properties":{"formattedCitation":"[12]","plainCitation":"[12]","noteIndex":0},"citationItems":[{"id":7,"uris":["http://zotero.org/users/local/82XhB2vR/items/D4SNJEG3"],"uri":["http://zotero.org/users/local/82XhB2vR/items/D4SNJEG3"],"itemData":{"id":7,"type":"book","title":"Obesity: preventing and managing the global epidemic. Report of a WHO Consultation presented at the World Health Organization, June 3–5, 1997, Geneva, Switzerland","shortTitle":"Obesity","author":[{"family":"","given":"World Health Organization"}],"issued":{"date-parts":[["1997"]]},"accessed":{"date-parts":[["2018",8,26]]}}}],"schema":"https://github.com/citation-style-language/schema/raw/master/csl-citation.json"} </w:instrText>
      </w:r>
      <w:r w:rsidR="003B00FF">
        <w:rPr>
          <w:shd w:val="clear" w:color="auto" w:fill="FFFFFF"/>
        </w:rPr>
        <w:fldChar w:fldCharType="separate"/>
      </w:r>
      <w:r w:rsidR="00DB5D87">
        <w:rPr>
          <w:noProof/>
          <w:shd w:val="clear" w:color="auto" w:fill="FFFFFF"/>
        </w:rPr>
        <w:t>[12]</w:t>
      </w:r>
      <w:r w:rsidR="003B00FF">
        <w:rPr>
          <w:shd w:val="clear" w:color="auto" w:fill="FFFFFF"/>
        </w:rPr>
        <w:fldChar w:fldCharType="end"/>
      </w:r>
      <w:r w:rsidR="0041734D" w:rsidRPr="0041734D">
        <w:rPr>
          <w:shd w:val="clear" w:color="auto" w:fill="FFFFFF"/>
        </w:rPr>
        <w:t>.</w:t>
      </w:r>
    </w:p>
    <w:p w14:paraId="08654AC5" w14:textId="77777777" w:rsidR="00781ED4" w:rsidRDefault="00781ED4" w:rsidP="000304E2">
      <w:pPr>
        <w:autoSpaceDE w:val="0"/>
        <w:autoSpaceDN w:val="0"/>
        <w:adjustRightInd w:val="0"/>
        <w:spacing w:line="480" w:lineRule="auto"/>
        <w:ind w:firstLine="720"/>
        <w:jc w:val="both"/>
        <w:rPr>
          <w:shd w:val="clear" w:color="auto" w:fill="FFFFFF"/>
        </w:rPr>
      </w:pPr>
    </w:p>
    <w:p w14:paraId="3D0B156A" w14:textId="0A94C764" w:rsidR="002B76D0" w:rsidRPr="00204BA9" w:rsidRDefault="00204BA9" w:rsidP="000304E2">
      <w:pPr>
        <w:autoSpaceDE w:val="0"/>
        <w:autoSpaceDN w:val="0"/>
        <w:adjustRightInd w:val="0"/>
        <w:spacing w:line="480" w:lineRule="auto"/>
        <w:ind w:firstLine="720"/>
        <w:jc w:val="both"/>
        <w:rPr>
          <w:b/>
          <w:i/>
          <w:shd w:val="clear" w:color="auto" w:fill="FFFFFF"/>
        </w:rPr>
      </w:pPr>
      <w:r w:rsidRPr="00204BA9">
        <w:rPr>
          <w:b/>
          <w:i/>
          <w:shd w:val="clear" w:color="auto" w:fill="FFFFFF"/>
        </w:rPr>
        <w:t xml:space="preserve">Statistical </w:t>
      </w:r>
      <w:r w:rsidR="00781ED4">
        <w:rPr>
          <w:b/>
          <w:i/>
          <w:shd w:val="clear" w:color="auto" w:fill="FFFFFF"/>
        </w:rPr>
        <w:t>Analysis</w:t>
      </w:r>
    </w:p>
    <w:p w14:paraId="6807AE69" w14:textId="32518C34" w:rsidR="00204BA9" w:rsidRDefault="00204BA9" w:rsidP="000304E2">
      <w:pPr>
        <w:autoSpaceDE w:val="0"/>
        <w:autoSpaceDN w:val="0"/>
        <w:adjustRightInd w:val="0"/>
        <w:spacing w:line="480" w:lineRule="auto"/>
        <w:ind w:firstLine="720"/>
        <w:jc w:val="both"/>
        <w:rPr>
          <w:shd w:val="clear" w:color="auto" w:fill="FFFFFF"/>
        </w:rPr>
      </w:pPr>
      <w:r w:rsidRPr="00204BA9">
        <w:rPr>
          <w:shd w:val="clear" w:color="auto" w:fill="FFFFFF"/>
        </w:rPr>
        <w:t xml:space="preserve">Analyzes were performed with the NCSS 11 (Number Cruncher Statistical System, 2017 Statistical Software) program and </w:t>
      </w:r>
      <w:proofErr w:type="spellStart"/>
      <w:r w:rsidRPr="00204BA9">
        <w:rPr>
          <w:shd w:val="clear" w:color="auto" w:fill="FFFFFF"/>
        </w:rPr>
        <w:t>MedCalc</w:t>
      </w:r>
      <w:proofErr w:type="spellEnd"/>
      <w:r w:rsidRPr="00204BA9">
        <w:rPr>
          <w:shd w:val="clear" w:color="auto" w:fill="FFFFFF"/>
        </w:rPr>
        <w:t xml:space="preserve"> Statistical Software version 18 (</w:t>
      </w:r>
      <w:proofErr w:type="spellStart"/>
      <w:r w:rsidRPr="00204BA9">
        <w:rPr>
          <w:shd w:val="clear" w:color="auto" w:fill="FFFFFF"/>
        </w:rPr>
        <w:t>MedCalc</w:t>
      </w:r>
      <w:proofErr w:type="spellEnd"/>
      <w:r w:rsidRPr="00204BA9">
        <w:rPr>
          <w:shd w:val="clear" w:color="auto" w:fill="FFFFFF"/>
        </w:rPr>
        <w:t xml:space="preserve"> Software </w:t>
      </w:r>
      <w:proofErr w:type="spellStart"/>
      <w:r w:rsidRPr="00204BA9">
        <w:rPr>
          <w:shd w:val="clear" w:color="auto" w:fill="FFFFFF"/>
        </w:rPr>
        <w:t>bvba</w:t>
      </w:r>
      <w:proofErr w:type="spellEnd"/>
      <w:r w:rsidRPr="00204BA9">
        <w:rPr>
          <w:shd w:val="clear" w:color="auto" w:fill="FFFFFF"/>
        </w:rPr>
        <w:t xml:space="preserve">, Ostend, Belgium; </w:t>
      </w:r>
      <w:hyperlink r:id="rId8" w:history="1">
        <w:r w:rsidRPr="00DD49AC">
          <w:rPr>
            <w:rStyle w:val="Hyperlink"/>
            <w:shd w:val="clear" w:color="auto" w:fill="FFFFFF"/>
          </w:rPr>
          <w:t>http://www.medcalc.org</w:t>
        </w:r>
      </w:hyperlink>
      <w:r w:rsidRPr="00204BA9">
        <w:rPr>
          <w:shd w:val="clear" w:color="auto" w:fill="FFFFFF"/>
        </w:rPr>
        <w:t>;</w:t>
      </w:r>
      <w:r>
        <w:rPr>
          <w:shd w:val="clear" w:color="auto" w:fill="FFFFFF"/>
        </w:rPr>
        <w:t xml:space="preserve"> </w:t>
      </w:r>
      <w:r w:rsidRPr="00204BA9">
        <w:rPr>
          <w:shd w:val="clear" w:color="auto" w:fill="FFFFFF"/>
        </w:rPr>
        <w:t>2018)</w:t>
      </w:r>
    </w:p>
    <w:p w14:paraId="7EB2809A" w14:textId="3EB30636" w:rsidR="00E95889" w:rsidRDefault="00204BA9" w:rsidP="000304E2">
      <w:pPr>
        <w:spacing w:line="480" w:lineRule="auto"/>
        <w:ind w:firstLine="720"/>
        <w:jc w:val="both"/>
        <w:rPr>
          <w:shd w:val="clear" w:color="auto" w:fill="FFFFFF"/>
        </w:rPr>
      </w:pPr>
      <w:r w:rsidRPr="00204BA9">
        <w:rPr>
          <w:shd w:val="clear" w:color="auto" w:fill="FFFFFF"/>
        </w:rPr>
        <w:t xml:space="preserve">Besides descriptive calculations (mean </w:t>
      </w:r>
      <w:r>
        <w:rPr>
          <w:rFonts w:ascii="Calibri" w:eastAsia="Times New Roman" w:hAnsi="Calibri"/>
          <w:color w:val="000000"/>
        </w:rPr>
        <w:t xml:space="preserve">± </w:t>
      </w:r>
      <w:r w:rsidRPr="00204BA9">
        <w:rPr>
          <w:shd w:val="clear" w:color="auto" w:fill="FFFFFF"/>
        </w:rPr>
        <w:t>standard deviation</w:t>
      </w:r>
      <w:r>
        <w:rPr>
          <w:shd w:val="clear" w:color="auto" w:fill="FFFFFF"/>
        </w:rPr>
        <w:t xml:space="preserve">, </w:t>
      </w:r>
      <w:r w:rsidRPr="00204BA9">
        <w:rPr>
          <w:shd w:val="clear" w:color="auto" w:fill="FFFFFF"/>
        </w:rPr>
        <w:t>frequency and percentage values),</w:t>
      </w:r>
      <w:r w:rsidR="000B3488">
        <w:rPr>
          <w:shd w:val="clear" w:color="auto" w:fill="FFFFFF"/>
        </w:rPr>
        <w:t xml:space="preserve"> </w:t>
      </w:r>
      <w:r w:rsidR="005A4E35">
        <w:rPr>
          <w:shd w:val="clear" w:color="auto" w:fill="FFFFFF"/>
        </w:rPr>
        <w:t xml:space="preserve">normality </w:t>
      </w:r>
      <w:r w:rsidR="00E363D4" w:rsidRPr="00204BA9">
        <w:rPr>
          <w:shd w:val="clear" w:color="auto" w:fill="FFFFFF"/>
        </w:rPr>
        <w:t>test of continuous variabl</w:t>
      </w:r>
      <w:r w:rsidR="009139D8">
        <w:rPr>
          <w:shd w:val="clear" w:color="auto" w:fill="FFFFFF"/>
        </w:rPr>
        <w:t>es was performed by the Shapiro-</w:t>
      </w:r>
      <w:r w:rsidR="00E363D4" w:rsidRPr="00204BA9">
        <w:rPr>
          <w:shd w:val="clear" w:color="auto" w:fill="FFFFFF"/>
        </w:rPr>
        <w:t xml:space="preserve">Wilk test. </w:t>
      </w:r>
      <w:r w:rsidR="00AD28F2">
        <w:rPr>
          <w:shd w:val="clear" w:color="auto" w:fill="FFFFFF"/>
        </w:rPr>
        <w:t xml:space="preserve">Chi-Square and </w:t>
      </w:r>
      <w:r w:rsidR="00AD28F2" w:rsidRPr="00204BA9">
        <w:rPr>
          <w:shd w:val="clear" w:color="auto" w:fill="FFFFFF"/>
        </w:rPr>
        <w:t>Mann Whitney U test was used in two independent</w:t>
      </w:r>
      <w:r w:rsidR="00AD28F2">
        <w:rPr>
          <w:shd w:val="clear" w:color="auto" w:fill="FFFFFF"/>
        </w:rPr>
        <w:t xml:space="preserve"> group comparisons and for</w:t>
      </w:r>
      <w:r w:rsidR="00924122" w:rsidRPr="00924122">
        <w:rPr>
          <w:shd w:val="clear" w:color="auto" w:fill="FFFFFF"/>
        </w:rPr>
        <w:t xml:space="preserve"> three or more groups comparisons, one-way analysis of variance (ANOVA) and </w:t>
      </w:r>
      <w:proofErr w:type="spellStart"/>
      <w:r w:rsidR="00924122" w:rsidRPr="00924122">
        <w:rPr>
          <w:shd w:val="clear" w:color="auto" w:fill="FFFFFF"/>
        </w:rPr>
        <w:t>Kruskall</w:t>
      </w:r>
      <w:proofErr w:type="spellEnd"/>
      <w:r w:rsidR="00924122" w:rsidRPr="00924122">
        <w:rPr>
          <w:shd w:val="clear" w:color="auto" w:fill="FFFFFF"/>
        </w:rPr>
        <w:t>-Wallis H was used according to the distribution of the unpaired samples.</w:t>
      </w:r>
      <w:r w:rsidR="00781ED4">
        <w:rPr>
          <w:shd w:val="clear" w:color="auto" w:fill="FFFFFF"/>
        </w:rPr>
        <w:t xml:space="preserve"> </w:t>
      </w:r>
      <w:proofErr w:type="spellStart"/>
      <w:r w:rsidRPr="00204BA9">
        <w:rPr>
          <w:shd w:val="clear" w:color="auto" w:fill="FFFFFF"/>
        </w:rPr>
        <w:t>Peaerson</w:t>
      </w:r>
      <w:proofErr w:type="spellEnd"/>
      <w:r w:rsidRPr="00204BA9">
        <w:rPr>
          <w:shd w:val="clear" w:color="auto" w:fill="FFFFFF"/>
        </w:rPr>
        <w:t xml:space="preserve"> correlation analysis was used to identify correlations between variables that did not provide a normal distribution hypothesis. Interruption points for BMI levels were calculated by R</w:t>
      </w:r>
      <w:r w:rsidR="00031248">
        <w:rPr>
          <w:shd w:val="clear" w:color="auto" w:fill="FFFFFF"/>
        </w:rPr>
        <w:t>OC analysis. The value of P &lt;</w:t>
      </w:r>
      <w:r w:rsidRPr="00204BA9" xml:space="preserve">
        <w:rPr>
          <w:shd w:val="clear" w:color="auto" w:fill="FFFFFF"/>
        </w:rPr>
        <w:t xml:space="preserve"> 0.05 was considered as significant.</w:t>
      </w:r>
      <w:commentRangeStart xmlns:rel="http://schemas.openxmlformats.org/package/2006/relationships" w:id="13" xml:space="preserve"/>
      <w:r w:rsidRPr="00204BA9" xml:space="preserve">
        <w:rPr>
          <w:shd w:val="clear" w:color="auto" w:fill="FFFFFF"/>
        </w:rPr>
        <w:t xml:space="preserve"> </w:t>
      </w:r>
    </w:p>
    <w:p w14:paraId="48F88E2A" w14:textId="77777777" w:rsidR="005C6B17" w:rsidRPr="00F30CD5" w:rsidRDefault="005C6B17" w:rsidP="000304E2">
      <w:pPr>
        <w:spacing w:line="480" w:lineRule="auto"/>
        <w:ind w:firstLine="720"/>
        <w:jc w:val="both"/>
        <w:rPr>
          <w:shd w:val="clear" w:color="auto" w:fill="FFFFFF"/>
        </w:rPr>
      </w:pPr>
    </w:p>
    <w:p w14:paraId="549C86A5" w14:textId="176D848E" w:rsidR="00AC6B5B" w:rsidRPr="00E822F3" w:rsidRDefault="007B4C1B" w:rsidP="000304E2">
      <w:pPr>
        <w:autoSpaceDE w:val="0"/>
        <w:autoSpaceDN w:val="0"/>
        <w:adjustRightInd w:val="0"/>
        <w:spacing w:line="480" w:lineRule="auto"/>
        <w:outlineLvl w:val="0"/>
        <w:rPr>
          <w:b/>
          <w:color w:val="000000" w:themeColor="text1"/>
          <w:shd w:val="clear" w:color="auto" w:fill="FFFFFF"/>
        </w:rPr>
      </w:pPr>
      <w:r w:rsidRPr="00DD3AF2">
        <w:rPr>
          <w:b/>
          <w:shd w:val="clear" w:color="auto" w:fill="FFFFFF"/>
        </w:rPr>
        <w:t>Results</w:t>
      </w:r>
    </w:p>
    <w:p w14:paraId="6CB8A3B5" w14:textId="617B6631" w:rsidR="00B170D4" w:rsidRPr="00E822F3" w:rsidRDefault="00B170D4" w:rsidP="000304E2">
      <w:pPr>
        <w:spacing w:line="480" w:lineRule="auto"/>
        <w:ind w:firstLine="720"/>
        <w:jc w:val="both"/>
        <w:rPr>
          <w:color w:val="000000" w:themeColor="text1"/>
        </w:rPr>
      </w:pPr>
      <w:r w:rsidRPr="00E822F3" xml:space="preserve">
        <w:rPr>
          <w:color w:val="000000" w:themeColor="text1"/>
        </w:rPr>
        <w:t/>
      </w:r>
      <w:commentRangeEnd xmlns:rel="http://schemas.openxmlformats.org/package/2006/relationships" w:id="13" xml:space="preserve"/>
      <w:r>
        <w:rPr>
          <w:rStyle w:val="CommentReference"/>
        </w:rPr>
        <w:commentReference w:id="13"/>
      </w:r>
      <w:r w:rsidRPr="00E822F3" xml:space="preserve">
        <w:rPr>
          <w:color w:val="000000" w:themeColor="text1"/>
        </w:rPr>
        <w:t xml:space="preserve">The study included a total number of 206 newly diagnosed BC patients who consisted of 82 obese (2</w:t>
      </w:r>
      <w:r w:rsidR="00343432" w:rsidRPr="00E822F3">
        <w:rPr>
          <w:color w:val="000000" w:themeColor="text1"/>
        </w:rPr>
        <w:t>8</w:t>
      </w:r>
      <w:r w:rsidRPr="00E822F3">
        <w:rPr>
          <w:color w:val="000000" w:themeColor="text1"/>
        </w:rPr>
        <w:t xml:space="preserve"> patient</w:t>
      </w:r>
      <w:r w:rsidR="00343432" w:rsidRPr="00E822F3">
        <w:rPr>
          <w:color w:val="000000" w:themeColor="text1"/>
        </w:rPr>
        <w:t>s were pre-menopausal whereas 54</w:t>
      </w:r>
      <w:r w:rsidRPr="00E822F3">
        <w:rPr>
          <w:color w:val="000000" w:themeColor="text1"/>
        </w:rPr>
        <w:t xml:space="preserve"> patients were post-menopausal) and 124 non-obese </w:t>
      </w:r>
      <w:r w:rsidR="007974AA">
        <w:rPr>
          <w:color w:val="000000" w:themeColor="text1"/>
        </w:rPr>
        <w:t xml:space="preserve">patients </w:t>
      </w:r>
      <w:r w:rsidRPr="00E822F3">
        <w:rPr>
          <w:color w:val="000000" w:themeColor="text1"/>
        </w:rPr>
        <w:t>(62 patients were pre-menopausal whereas 62 patients were post-menopausal). The mean age of obese group was 52.16 ± 13.13 years whereas the mean age of non-ob</w:t>
      </w:r>
      <w:r w:rsidR="00343432" w:rsidRPr="00E822F3">
        <w:rPr>
          <w:color w:val="000000" w:themeColor="text1"/>
        </w:rPr>
        <w:t xml:space="preserve">ese group was 56 ± 10.37 years. </w:t>
      </w:r>
      <w:r w:rsidR="0066547F" w:rsidRPr="00E822F3">
        <w:rPr>
          <w:color w:val="000000" w:themeColor="text1"/>
        </w:rPr>
        <w:t>Fifty percent of the non-obese patients were in pre-</w:t>
      </w:r>
      <w:r w:rsidR="0066547F" w:rsidRPr="00E822F3">
        <w:rPr>
          <w:color w:val="000000" w:themeColor="text1"/>
        </w:rPr>
        <w:lastRenderedPageBreak/>
        <w:t xml:space="preserve">menopausal status whereas 34.15% of the obese patients were in pre-menopausal status. </w:t>
      </w:r>
      <w:r w:rsidRPr="00E822F3" xml:space="preserve">
        <w:rPr>
          <w:color w:val="000000" w:themeColor="text1"/>
        </w:rPr>
        <w:t xml:space="preserve">Descriptive data were shown in </w:t>
      </w:r>
      <w:commentRangeStart xmlns:rel="http://schemas.openxmlformats.org/package/2006/relationships" w:id="12" xml:space="preserve"/>
      <w:r w:rsidRPr="00E822F3" xml:space="preserve">
        <w:rPr>
          <w:color w:val="000000" w:themeColor="text1"/>
        </w:rPr>
        <w:t xml:space="preserve">table 1.</w:t>
      </w:r>
    </w:p>
    <w:p w14:paraId="6258053D" w14:textId="228724ED" w:rsidR="00BD1443" w:rsidRPr="00E822F3" w:rsidRDefault="00A856EB" w:rsidP="000304E2">
      <w:pPr>
        <w:autoSpaceDE w:val="0"/>
        <w:autoSpaceDN w:val="0"/>
        <w:adjustRightInd w:val="0"/>
        <w:spacing w:line="480" w:lineRule="auto"/>
        <w:ind w:firstLine="720"/>
        <w:contextualSpacing/>
        <w:jc w:val="both"/>
        <w:rPr>
          <w:color w:val="000000" w:themeColor="text1"/>
        </w:rPr>
      </w:pPr>
      <w:r w:rsidRPr="00E822F3" xml:space="preserve">
        <w:rPr>
          <w:color w:val="000000" w:themeColor="text1"/>
        </w:rPr>
        <w:t xml:space="preserve"/>
      </w:r>
      <w:commentRangeEnd xmlns:rel="http://schemas.openxmlformats.org/package/2006/relationships" w:id="12" xml:space="preserve"/>
      <w:r>
        <w:rPr>
          <w:rStyle w:val="CommentReference"/>
        </w:rPr>
        <w:commentReference w:id="12"/>
      </w:r>
      <w:r w:rsidRPr="00E822F3" xml:space="preserve">
        <w:rPr>
          <w:color w:val="000000" w:themeColor="text1"/>
        </w:rPr>
        <w:t xml:space="preserve">In overall patients, ER positivity was </w:t>
      </w:r>
      <w:r w:rsidR="0040554B" w:rsidRPr="00E822F3">
        <w:rPr>
          <w:color w:val="000000" w:themeColor="text1"/>
        </w:rPr>
        <w:t>68.93</w:t>
      </w:r>
      <w:r w:rsidRPr="00E822F3">
        <w:rPr>
          <w:color w:val="000000" w:themeColor="text1"/>
        </w:rPr>
        <w:t xml:space="preserve">% (n=142); PR positivity was </w:t>
      </w:r>
      <w:r w:rsidR="0040554B" w:rsidRPr="00E822F3">
        <w:rPr>
          <w:color w:val="000000" w:themeColor="text1"/>
        </w:rPr>
        <w:t>59.70</w:t>
      </w:r>
      <w:r w:rsidRPr="00E822F3">
        <w:rPr>
          <w:color w:val="000000" w:themeColor="text1"/>
        </w:rPr>
        <w:t>% (n=123); HER-2/neu (C-</w:t>
      </w:r>
      <w:proofErr w:type="spellStart"/>
      <w:r w:rsidRPr="00E822F3">
        <w:rPr>
          <w:color w:val="000000" w:themeColor="text1"/>
        </w:rPr>
        <w:t>erb</w:t>
      </w:r>
      <w:proofErr w:type="spellEnd"/>
      <w:r w:rsidRPr="00E822F3">
        <w:rPr>
          <w:color w:val="000000" w:themeColor="text1"/>
        </w:rPr>
        <w:t xml:space="preserve"> B2) negativity was </w:t>
      </w:r>
      <w:r w:rsidR="00BD1443" w:rsidRPr="00E822F3">
        <w:rPr>
          <w:color w:val="000000" w:themeColor="text1"/>
        </w:rPr>
        <w:t>69.41</w:t>
      </w:r>
      <w:r w:rsidRPr="00E822F3">
        <w:rPr>
          <w:color w:val="000000" w:themeColor="text1"/>
        </w:rPr>
        <w:t xml:space="preserve">% (n=143); triple negativity was </w:t>
      </w:r>
      <w:r w:rsidR="00BD1443" w:rsidRPr="00E822F3">
        <w:rPr>
          <w:color w:val="000000" w:themeColor="text1"/>
        </w:rPr>
        <w:t>14.07</w:t>
      </w:r>
      <w:r w:rsidRPr="00E822F3">
        <w:rPr>
          <w:color w:val="000000" w:themeColor="text1"/>
        </w:rPr>
        <w:t xml:space="preserve">% (n=29); triple positivity was </w:t>
      </w:r>
      <w:r w:rsidR="00BD1443" w:rsidRPr="00E822F3">
        <w:rPr>
          <w:color w:val="000000" w:themeColor="text1"/>
        </w:rPr>
        <w:t>14.07</w:t>
      </w:r>
      <w:r w:rsidRPr="00E822F3">
        <w:rPr>
          <w:color w:val="000000" w:themeColor="text1"/>
        </w:rPr>
        <w:t xml:space="preserve">% (n=29). </w:t>
      </w:r>
      <w:r w:rsidR="00BD1443" w:rsidRPr="00E822F3">
        <w:rPr>
          <w:color w:val="000000" w:themeColor="text1"/>
        </w:rPr>
        <w:t>In obese patients, ER positivity was 69.51% (n=57); PR positivity was 58.54% (n=48); HER-2/neu (C-</w:t>
      </w:r>
      <w:proofErr w:type="spellStart"/>
      <w:r w:rsidR="00BD1443" w:rsidRPr="00E822F3">
        <w:rPr>
          <w:color w:val="000000" w:themeColor="text1"/>
        </w:rPr>
        <w:t>erb</w:t>
      </w:r>
      <w:proofErr w:type="spellEnd"/>
      <w:r w:rsidR="00BD1443" w:rsidRPr="00E822F3">
        <w:rPr>
          <w:color w:val="000000" w:themeColor="text1"/>
        </w:rPr>
        <w:t xml:space="preserve"> B2) negativity was 71.95% (n=59); triple negativity was 9.68% (n=12); triple positivity was 8.87% (n=11).</w:t>
      </w:r>
      <w:r w:rsidR="0066547F" w:rsidRPr="00E822F3">
        <w:rPr>
          <w:color w:val="000000" w:themeColor="text1"/>
        </w:rPr>
        <w:t xml:space="preserve"> In non-obese patients, ER positivity was 68.55% (n=85); PR positivity was 60.49% (n=75); HER-2/neu (C-</w:t>
      </w:r>
      <w:proofErr w:type="spellStart"/>
      <w:r w:rsidR="0066547F" w:rsidRPr="00E822F3">
        <w:rPr>
          <w:color w:val="000000" w:themeColor="text1"/>
        </w:rPr>
        <w:t>erb</w:t>
      </w:r>
      <w:proofErr w:type="spellEnd"/>
      <w:r w:rsidR="0066547F" w:rsidRPr="00E822F3">
        <w:rPr>
          <w:color w:val="000000" w:themeColor="text1"/>
        </w:rPr>
        <w:t xml:space="preserve"> B2) negativity was 67.74% (n=84); triple negativity was 13.71% (n=17); triple positivity was 14.52% (n=18).</w:t>
      </w:r>
    </w:p>
    <w:p w14:paraId="4339619F" w14:textId="3BC72A5A" w:rsidR="00747DE4" w:rsidRPr="00E822F3" w:rsidRDefault="00747DE4"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all patients, 13.59% patients were stage I; 43.69% patients were stage II; 28.16% patients were stage III and 14.56% patients were stage IV. </w:t>
      </w:r>
      <w:r w:rsidR="003A0581" w:rsidRPr="00E822F3">
        <w:rPr>
          <w:color w:val="000000" w:themeColor="text1"/>
        </w:rPr>
        <w:t>Distribution of cancer stages in obese and non-obese patients were shown in table 1. There was no difference in 5-year mortality rate between obese and non-obese patients (p=</w:t>
      </w:r>
      <w:r w:rsidR="00C60678">
        <w:rPr>
          <w:color w:val="000000" w:themeColor="text1"/>
        </w:rPr>
        <w:t xml:space="preserve"> </w:t>
      </w:r>
      <w:r w:rsidR="003A0581" w:rsidRPr="00E822F3">
        <w:rPr>
          <w:color w:val="000000" w:themeColor="text1"/>
        </w:rPr>
        <w:t>0.071).</w:t>
      </w:r>
    </w:p>
    <w:p w14:paraId="4B813C31" w14:textId="2CE479CD" w:rsidR="00316485" w:rsidRPr="00E822F3" w:rsidRDefault="003A0581"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order to compare ER, PR, HER2, </w:t>
      </w:r>
      <w:r w:rsidR="001679A9" w:rsidRPr="00E822F3">
        <w:rPr>
          <w:color w:val="000000" w:themeColor="text1"/>
        </w:rPr>
        <w:t>triple-negative</w:t>
      </w:r>
      <w:r w:rsidRPr="00E822F3">
        <w:rPr>
          <w:color w:val="000000" w:themeColor="text1"/>
        </w:rPr>
        <w:t xml:space="preserve">, </w:t>
      </w:r>
      <w:r w:rsidR="001679A9" w:rsidRPr="00E822F3">
        <w:rPr>
          <w:color w:val="000000" w:themeColor="text1"/>
        </w:rPr>
        <w:t>triple-positive</w:t>
      </w:r>
      <w:r w:rsidRPr="00E822F3">
        <w:rPr>
          <w:color w:val="000000" w:themeColor="text1"/>
        </w:rPr>
        <w:t xml:space="preserve"> status between obese and non-obese patients we have divided patients according to menopausal status. </w:t>
      </w:r>
      <w:r w:rsidR="00A95210" w:rsidRPr="00E822F3">
        <w:rPr>
          <w:color w:val="000000" w:themeColor="text1"/>
        </w:rPr>
        <w:t>Mean ages of pre-menopausal and post-menopausal BC patients were 43.75 ± 7.1 and 61.40 ± 9.50 years, respectively (p=</w:t>
      </w:r>
      <w:r w:rsidR="00316485" w:rsidRPr="00E822F3">
        <w:rPr>
          <w:color w:val="000000" w:themeColor="text1"/>
        </w:rPr>
        <w:t>0.014)</w:t>
      </w:r>
      <w:r w:rsidR="00A95210" w:rsidRPr="00E822F3">
        <w:rPr>
          <w:color w:val="000000" w:themeColor="text1"/>
        </w:rPr>
        <w:t>.</w:t>
      </w:r>
      <w:r w:rsidR="00903A51" w:rsidRPr="00E822F3">
        <w:rPr>
          <w:color w:val="000000" w:themeColor="text1"/>
        </w:rPr>
        <w:t xml:space="preserve"> There was no difference regarding BMI between groups (p= 0.703).</w:t>
      </w:r>
    </w:p>
    <w:p w14:paraId="42180A05" w14:textId="620AEE6D" w:rsidR="0023343F" w:rsidRPr="00E822F3" w:rsidRDefault="0023343F" w:rsidP="000304E2">
      <w:pPr>
        <w:spacing w:line="480" w:lineRule="auto"/>
        <w:ind w:firstLine="720"/>
        <w:jc w:val="both"/>
        <w:rPr>
          <w:color w:val="000000" w:themeColor="text1"/>
        </w:rPr>
      </w:pPr>
      <w:r w:rsidRPr="00E822F3">
        <w:rPr>
          <w:color w:val="000000" w:themeColor="text1"/>
        </w:rPr>
        <w:t xml:space="preserve">Pre-menopausal and post-menopausal patients were divided </w:t>
      </w:r>
      <w:r w:rsidR="00681D7B">
        <w:rPr>
          <w:color w:val="000000" w:themeColor="text1"/>
        </w:rPr>
        <w:t>in</w:t>
      </w:r>
      <w:r w:rsidRPr="00E822F3">
        <w:rPr>
          <w:color w:val="000000" w:themeColor="text1"/>
        </w:rPr>
        <w:t xml:space="preserve"> subgroups according to obesity (BMI &lt;30 and ≥30 kg/m2), and we showed that obesity in breast cancer did not alter</w:t>
      </w:r>
      <w:r w:rsidR="00681D7B">
        <w:rPr>
          <w:color w:val="000000" w:themeColor="text1"/>
        </w:rPr>
        <w:t>ed</w:t>
      </w:r>
      <w:r w:rsidRPr="00E822F3" xml:space="preserve">
        <w:rPr>
          <w:color w:val="000000" w:themeColor="text1"/>
        </w:rPr>
        <w:t xml:space="preserve"> the ER, PR, HER2, triple-positive, and triple-negative status in both pre-menopausal and post-menopausal patients (for p values see </w:t>
      </w:r>
      <w:commentRangeStart xmlns:rel="http://schemas.openxmlformats.org/package/2006/relationships" w:id="11" xml:space="preserve"/>
      <w:r w:rsidRPr="00E822F3" xml:space="preserve">
        <w:rPr>
          <w:color w:val="000000" w:themeColor="text1"/>
        </w:rPr>
        <w:t xml:space="preserve">table 2)</w:t>
      </w:r>
      <w:commentRangeEnd xmlns:rel="http://schemas.openxmlformats.org/package/2006/relationships" w:id="11" xml:space="preserve"/>
      <w:r>
        <w:rPr>
          <w:rStyle w:val="CommentReference"/>
        </w:rPr>
        <w:commentReference w:id="11"/>
      </w:r>
      <w:r w:rsidRPr="00E822F3" xml:space="preserve">
        <w:rPr>
          <w:color w:val="000000" w:themeColor="text1"/>
        </w:rPr>
        <w:t xml:space="preserve">; but, only post-menopausal, obese breast cancer patients tended to slightly have less triple-negative status than non-obese patients (p=0.03).</w:t>
      </w:r>
    </w:p>
    <w:p w14:paraId="6F077535" w14:textId="3C7ACE6C" w:rsidR="00203C34" w:rsidRDefault="00531700" w:rsidP="000304E2">
      <w:pPr>
        <w:spacing w:line="480" w:lineRule="auto"/>
        <w:ind w:firstLine="720"/>
        <w:jc w:val="both"/>
        <w:rPr>
          <w:color w:val="000000" w:themeColor="text1"/>
        </w:rPr>
      </w:pPr>
      <w:r w:rsidRPr="00E822F3">
        <w:rPr>
          <w:color w:val="000000" w:themeColor="text1"/>
        </w:rPr>
        <w:t>There was no difference</w:t>
      </w:r>
      <w:r w:rsidR="00681D7B">
        <w:rPr>
          <w:color w:val="000000" w:themeColor="text1"/>
        </w:rPr>
        <w:t>s</w:t>
      </w:r>
      <w:r w:rsidRPr="00E822F3">
        <w:rPr>
          <w:color w:val="000000" w:themeColor="text1"/>
        </w:rPr>
        <w:t xml:space="preserve"> regarding 5-year mortality rates between obese and non-obese patients in both pre-menopausal and post-menopausal groups (p=</w:t>
      </w:r>
      <w:r w:rsidR="00C60678">
        <w:rPr>
          <w:color w:val="000000" w:themeColor="text1"/>
        </w:rPr>
        <w:t xml:space="preserve"> </w:t>
      </w:r>
      <w:r w:rsidRPr="00E822F3">
        <w:rPr>
          <w:color w:val="000000" w:themeColor="text1"/>
        </w:rPr>
        <w:t xml:space="preserve">0.907 and 0.570, </w:t>
      </w:r>
      <w:r w:rsidRPr="00E822F3">
        <w:rPr>
          <w:color w:val="000000" w:themeColor="text1"/>
        </w:rPr>
        <w:lastRenderedPageBreak/>
        <w:t xml:space="preserve">respectively). </w:t>
      </w:r>
      <w:r w:rsidR="0039772A" w:rsidRPr="00E822F3">
        <w:rPr>
          <w:color w:val="000000" w:themeColor="text1"/>
        </w:rPr>
        <w:t>W</w:t>
      </w:r>
      <w:r w:rsidR="001679A9" w:rsidRPr="00E822F3">
        <w:rPr>
          <w:color w:val="000000" w:themeColor="text1"/>
        </w:rPr>
        <w:t xml:space="preserve">e did not </w:t>
      </w:r>
      <w:r w:rsidR="003B21D2" w:rsidRPr="00E822F3">
        <w:rPr>
          <w:color w:val="000000" w:themeColor="text1"/>
        </w:rPr>
        <w:t>find</w:t>
      </w:r>
      <w:r w:rsidR="00747DE4" w:rsidRPr="00E822F3">
        <w:rPr>
          <w:color w:val="000000" w:themeColor="text1"/>
        </w:rPr>
        <w:t xml:space="preserve"> </w:t>
      </w:r>
      <w:r w:rsidR="001679A9" w:rsidRPr="00E822F3">
        <w:rPr>
          <w:color w:val="000000" w:themeColor="text1"/>
        </w:rPr>
        <w:t xml:space="preserve">any relationship </w:t>
      </w:r>
      <w:r w:rsidR="00747DE4" w:rsidRPr="00E822F3">
        <w:rPr>
          <w:color w:val="000000" w:themeColor="text1"/>
        </w:rPr>
        <w:t xml:space="preserve">between BMI values and tumor stages in </w:t>
      </w:r>
      <w:r w:rsidR="003B21D2" w:rsidRPr="00E822F3">
        <w:rPr>
          <w:color w:val="000000" w:themeColor="text1"/>
        </w:rPr>
        <w:t xml:space="preserve">both </w:t>
      </w:r>
      <w:r w:rsidR="00747DE4" w:rsidRPr="00E822F3">
        <w:rPr>
          <w:color w:val="000000" w:themeColor="text1"/>
        </w:rPr>
        <w:t xml:space="preserve">pre-menopausal </w:t>
      </w:r>
      <w:r w:rsidR="00C60678">
        <w:rPr>
          <w:color w:val="000000" w:themeColor="text1"/>
        </w:rPr>
        <w:t>and post-menopausal patients (p</w:t>
      </w:r>
      <w:r w:rsidR="00747DE4" w:rsidRPr="00E822F3">
        <w:rPr>
          <w:color w:val="000000" w:themeColor="text1"/>
        </w:rPr>
        <w:t>= 0.233 and 0.843, respectively</w:t>
      </w:r>
      <w:r w:rsidR="0039772A" w:rsidRPr="00E822F3">
        <w:rPr>
          <w:color w:val="000000" w:themeColor="text1"/>
        </w:rPr>
        <w:t>). Likewise</w:t>
      </w:r>
      <w:r w:rsidR="00681D7B">
        <w:rPr>
          <w:color w:val="000000" w:themeColor="text1"/>
        </w:rPr>
        <w:t xml:space="preserve"> </w:t>
      </w:r>
      <w:r w:rsidR="0039772A" w:rsidRPr="00E822F3">
        <w:rPr>
          <w:color w:val="000000" w:themeColor="text1"/>
        </w:rPr>
        <w:t>t</w:t>
      </w:r>
      <w:r w:rsidR="0060565B" w:rsidRPr="00E822F3">
        <w:rPr>
          <w:color w:val="000000" w:themeColor="text1"/>
        </w:rPr>
        <w:t xml:space="preserve">here </w:t>
      </w:r>
      <w:r w:rsidR="00FD237B" w:rsidRPr="00E822F3">
        <w:rPr>
          <w:color w:val="000000" w:themeColor="text1"/>
        </w:rPr>
        <w:t>was</w:t>
      </w:r>
      <w:r w:rsidR="0060565B" w:rsidRPr="00E822F3">
        <w:rPr>
          <w:color w:val="000000" w:themeColor="text1"/>
        </w:rPr>
        <w:t xml:space="preserve"> </w:t>
      </w:r>
      <w:r w:rsidR="00167D26" w:rsidRPr="00E822F3">
        <w:rPr>
          <w:color w:val="000000" w:themeColor="text1"/>
        </w:rPr>
        <w:t xml:space="preserve">also </w:t>
      </w:r>
      <w:r w:rsidR="0060565B" w:rsidRPr="00E822F3">
        <w:rPr>
          <w:color w:val="000000" w:themeColor="text1"/>
        </w:rPr>
        <w:t xml:space="preserve">no relationship </w:t>
      </w:r>
      <w:r w:rsidR="001F19D4" w:rsidRPr="00E822F3">
        <w:rPr>
          <w:color w:val="000000" w:themeColor="text1"/>
        </w:rPr>
        <w:t xml:space="preserve">between BMI values and </w:t>
      </w:r>
      <w:r w:rsidR="00201BAD" w:rsidRPr="00E822F3">
        <w:rPr>
          <w:color w:val="000000" w:themeColor="text1"/>
        </w:rPr>
        <w:t>5-year mortality rates</w:t>
      </w:r>
      <w:r w:rsidR="0005549D" w:rsidRPr="00E822F3">
        <w:rPr>
          <w:color w:val="000000" w:themeColor="text1"/>
        </w:rPr>
        <w:t xml:space="preserve"> </w:t>
      </w:r>
      <w:r w:rsidR="001F19D4" w:rsidRPr="00E822F3">
        <w:rPr>
          <w:color w:val="000000" w:themeColor="text1"/>
        </w:rPr>
        <w:t xml:space="preserve">in pre-menopausal </w:t>
      </w:r>
      <w:r w:rsidR="00C60678">
        <w:rPr>
          <w:color w:val="000000" w:themeColor="text1"/>
        </w:rPr>
        <w:t>and post-menopausal patients (p</w:t>
      </w:r>
      <w:r w:rsidR="001F19D4" w:rsidRPr="00E822F3">
        <w:rPr>
          <w:color w:val="000000" w:themeColor="text1"/>
        </w:rPr>
        <w:t>= 0.199 and 0.328, respectively).</w:t>
      </w:r>
    </w:p>
    <w:p w14:paraId="674BA3A7" w14:textId="73622119" w:rsidR="00AB4295" w:rsidRDefault="00AB4295" w:rsidP="000304E2">
      <w:pPr>
        <w:spacing w:line="480" w:lineRule="auto"/>
        <w:ind w:firstLine="720"/>
        <w:jc w:val="both"/>
        <w:rPr>
          <w:color w:val="000000" w:themeColor="text1"/>
        </w:rPr>
      </w:pPr>
      <w:r>
        <w:rPr>
          <w:color w:val="000000" w:themeColor="text1"/>
        </w:rPr>
        <w:t xml:space="preserve">When we compare ER, PR, HER2, triple-positive, and triple-negative receptor statuses and 5-year mortality rates between pre-menopausal and post-menopausal patients, statistical significant differences were obtained </w:t>
      </w:r>
      <w:r w:rsidR="001C1724">
        <w:rPr>
          <w:color w:val="000000" w:themeColor="text1"/>
        </w:rPr>
        <w:t xml:space="preserve">only </w:t>
      </w:r>
      <w:r>
        <w:rPr>
          <w:color w:val="000000" w:themeColor="text1"/>
        </w:rPr>
        <w:t>in ER, PR, HER2, and triple-negative receptor statuses</w:t>
      </w:r>
      <w:r w:rsidR="001C1724">
        <w:rPr>
          <w:color w:val="000000" w:themeColor="text1"/>
        </w:rPr>
        <w:t xml:space="preserve"> </w:t>
      </w:r>
      <w:r w:rsidR="001C1724" w:rsidRPr="00E822F3">
        <w:rPr>
          <w:color w:val="000000" w:themeColor="text1"/>
        </w:rPr>
        <w:t>(for p values see table 2)</w:t>
      </w:r>
      <w:r w:rsidR="001C1724">
        <w:rPr>
          <w:color w:val="000000" w:themeColor="text1"/>
        </w:rPr>
        <w:t>.</w:t>
      </w:r>
    </w:p>
    <w:p w14:paraId="1F71B5CF" w14:textId="77777777" w:rsidR="00781ED4" w:rsidRDefault="00781ED4" w:rsidP="000304E2">
      <w:pPr>
        <w:spacing w:line="480" w:lineRule="auto"/>
        <w:jc w:val="both"/>
        <w:rPr>
          <w:color w:val="000000" w:themeColor="text1"/>
        </w:rPr>
      </w:pPr>
    </w:p>
    <w:p w14:paraId="68589685" w14:textId="299361BB" w:rsidR="00781ED4" w:rsidRDefault="00781ED4" w:rsidP="000304E2">
      <w:pPr>
        <w:spacing w:line="480" w:lineRule="auto"/>
        <w:jc w:val="both"/>
        <w:rPr>
          <w:color w:val="000000" w:themeColor="text1"/>
        </w:rPr>
      </w:pPr>
      <w:commentRangeStart xmlns:rel="http://schemas.openxmlformats.org/package/2006/relationships" w:id="10" xml:space="preserve"/>
      <w:r w:rsidRPr="00781ED4">
        <w:rPr>
          <w:b/>
          <w:color w:val="000000" w:themeColor="text1"/>
        </w:rPr>
        <w:t xml:space="preserve">Discussion</w:t>
      </w:r>
    </w:p>
    <w:p w14:paraId="09A1CC43" w14:textId="68B04935" w:rsidR="00A37744" w:rsidRDefault="00AB272F" w:rsidP="000304E2">
      <w:pPr>
        <w:spacing w:line="480" w:lineRule="auto"/>
        <w:ind w:firstLine="720"/>
        <w:jc w:val="both"/>
        <w:rPr>
          <w:color w:val="000000" w:themeColor="text1"/>
        </w:rPr>
      </w:pPr>
      <w:r xml:space="preserve">
        <w:rPr>
          <w:color w:val="000000" w:themeColor="text1"/>
        </w:rPr>
        <w:t xml:space="preserve"/>
      </w:r>
      <w:commentRangeEnd xmlns:rel="http://schemas.openxmlformats.org/package/2006/relationships" w:id="10" xml:space="preserve"/>
      <w:r>
        <w:rPr>
          <w:rStyle w:val="CommentReference"/>
        </w:rPr>
        <w:commentReference w:id="10"/>
      </w:r>
      <w:r xml:space="preserve">
        <w:rPr>
          <w:color w:val="000000" w:themeColor="text1"/>
        </w:rPr>
        <w:t xml:space="preserve">The association between BMI and </w:t>
      </w:r>
      <w:r w:rsidR="00226E87">
        <w:rPr>
          <w:shd w:val="clear" w:color="auto" w:fill="FFFFFF"/>
        </w:rPr>
        <w:t>receptor statuses</w:t>
      </w:r>
      <w:r w:rsidRPr="00E257DE">
        <w:rPr>
          <w:shd w:val="clear" w:color="auto" w:fill="FFFFFF"/>
        </w:rPr>
        <w:t xml:space="preserve"> </w:t>
      </w:r>
      <w:r>
        <w:rPr>
          <w:shd w:val="clear" w:color="auto" w:fill="FFFFFF"/>
        </w:rPr>
        <w:t xml:space="preserve">of </w:t>
      </w:r>
      <w:r w:rsidRPr="006514D2">
        <w:rPr>
          <w:color w:val="000000" w:themeColor="text1"/>
        </w:rPr>
        <w:t>BC</w:t>
      </w:r>
      <w:r>
        <w:rPr>
          <w:color w:val="000000" w:themeColor="text1"/>
        </w:rPr>
        <w:t xml:space="preserve"> is complex and </w:t>
      </w:r>
      <w:r w:rsidRPr="00AB272F">
        <w:rPr>
          <w:color w:val="000000" w:themeColor="text1"/>
        </w:rPr>
        <w:t>inconsistent</w:t>
      </w:r>
      <w:r>
        <w:rPr>
          <w:color w:val="000000" w:themeColor="text1"/>
        </w:rPr>
        <w:t xml:space="preserve">. </w:t>
      </w:r>
      <w:r w:rsidR="006514D2" w:rsidRPr="006514D2">
        <w:rPr>
          <w:color w:val="000000" w:themeColor="text1"/>
        </w:rPr>
        <w:t xml:space="preserve">Despite numerous studies, a common consensus regarding the relationship between </w:t>
      </w:r>
      <w:r w:rsidR="00245EF2">
        <w:rPr>
          <w:color w:val="000000" w:themeColor="text1"/>
        </w:rPr>
        <w:t xml:space="preserve">statuses of </w:t>
      </w:r>
      <w:r w:rsidR="00DD6539">
        <w:rPr>
          <w:shd w:val="clear" w:color="auto" w:fill="FFFFFF"/>
        </w:rPr>
        <w:t>IHC-</w:t>
      </w:r>
      <w:r w:rsidR="00DD6539" w:rsidRPr="00E257DE">
        <w:rPr>
          <w:shd w:val="clear" w:color="auto" w:fill="FFFFFF"/>
        </w:rPr>
        <w:t xml:space="preserve">surrogates </w:t>
      </w:r>
      <w:r w:rsidR="00DD6539">
        <w:rPr>
          <w:shd w:val="clear" w:color="auto" w:fill="FFFFFF"/>
        </w:rPr>
        <w:t xml:space="preserve">of </w:t>
      </w:r>
      <w:r w:rsidR="00DD6539" w:rsidRPr="006514D2">
        <w:rPr>
          <w:color w:val="000000" w:themeColor="text1"/>
        </w:rPr>
        <w:t>BC</w:t>
      </w:r>
      <w:r w:rsidR="00DD6539">
        <w:rPr>
          <w:color w:val="000000" w:themeColor="text1"/>
        </w:rPr>
        <w:t xml:space="preserve"> and </w:t>
      </w:r>
      <w:r w:rsidR="006514D2" w:rsidRPr="006514D2">
        <w:rPr>
          <w:color w:val="000000" w:themeColor="text1"/>
        </w:rPr>
        <w:t xml:space="preserve">BMI </w:t>
      </w:r>
      <w:r w:rsidR="00DD6539">
        <w:rPr>
          <w:color w:val="000000" w:themeColor="text1"/>
        </w:rPr>
        <w:t>has not been established</w:t>
      </w:r>
      <w:r w:rsidR="006514D2" w:rsidRPr="006514D2">
        <w:rPr>
          <w:color w:val="000000" w:themeColor="text1"/>
        </w:rPr>
        <w:t xml:space="preserve">, as the </w:t>
      </w:r>
      <w:r w:rsidR="00DD6539">
        <w:rPr>
          <w:color w:val="000000" w:themeColor="text1"/>
        </w:rPr>
        <w:t>results</w:t>
      </w:r>
      <w:r w:rsidR="006514D2" w:rsidRPr="006514D2">
        <w:rPr>
          <w:color w:val="000000" w:themeColor="text1"/>
        </w:rPr>
        <w:t xml:space="preserve"> of the studies </w:t>
      </w:r>
      <w:r w:rsidR="00DD6539">
        <w:rPr>
          <w:color w:val="000000" w:themeColor="text1"/>
        </w:rPr>
        <w:t>regarding</w:t>
      </w:r>
      <w:r w:rsidR="006514D2" w:rsidRPr="006514D2">
        <w:rPr>
          <w:color w:val="000000" w:themeColor="text1"/>
        </w:rPr>
        <w:t xml:space="preserve"> the effect of BMI on </w:t>
      </w:r>
      <w:r w:rsidR="00EF05BD">
        <w:rPr>
          <w:shd w:val="clear" w:color="auto" w:fill="FFFFFF"/>
        </w:rPr>
        <w:t>IHC-</w:t>
      </w:r>
      <w:r w:rsidR="00EF05BD" w:rsidRPr="00E257DE">
        <w:rPr>
          <w:shd w:val="clear" w:color="auto" w:fill="FFFFFF"/>
        </w:rPr>
        <w:t xml:space="preserve">surrogates </w:t>
      </w:r>
      <w:r w:rsidR="00EF05BD">
        <w:rPr>
          <w:shd w:val="clear" w:color="auto" w:fill="FFFFFF"/>
        </w:rPr>
        <w:t xml:space="preserve">of </w:t>
      </w:r>
      <w:r w:rsidR="006514D2" w:rsidRPr="006514D2">
        <w:rPr>
          <w:color w:val="000000" w:themeColor="text1"/>
        </w:rPr>
        <w:t>BC are conflicting.</w:t>
      </w:r>
      <w:r w:rsidR="00DD1EEE">
        <w:rPr>
          <w:color w:val="000000" w:themeColor="text1"/>
        </w:rPr>
        <w:t xml:space="preserve"> </w:t>
      </w:r>
      <w:r w:rsidR="00A37744" w:rsidRPr="00DD6539">
        <w:rPr>
          <w:color w:val="000000" w:themeColor="text1"/>
        </w:rPr>
        <w:t xml:space="preserve">One </w:t>
      </w:r>
      <w:r w:rsidR="00A37744">
        <w:rPr>
          <w:color w:val="000000" w:themeColor="text1"/>
        </w:rPr>
        <w:t xml:space="preserve">of the most important of this </w:t>
      </w:r>
      <w:r w:rsidR="00A37744" w:rsidRPr="00780779">
        <w:rPr>
          <w:color w:val="000000" w:themeColor="text1"/>
        </w:rPr>
        <w:t xml:space="preserve">discrepancy </w:t>
      </w:r>
      <w:r w:rsidR="00A37744">
        <w:rPr>
          <w:color w:val="000000" w:themeColor="text1"/>
        </w:rPr>
        <w:t>is that measurement</w:t>
      </w:r>
      <w:r w:rsidR="00A37744" w:rsidRPr="00DD6539">
        <w:rPr>
          <w:color w:val="000000" w:themeColor="text1"/>
        </w:rPr>
        <w:t xml:space="preserve"> of </w:t>
      </w:r>
      <w:r w:rsidR="00245EF2">
        <w:rPr>
          <w:color w:val="000000" w:themeColor="text1"/>
        </w:rPr>
        <w:t xml:space="preserve">the </w:t>
      </w:r>
      <w:r w:rsidR="00A37744" w:rsidRPr="00DD6539">
        <w:rPr>
          <w:color w:val="000000" w:themeColor="text1"/>
        </w:rPr>
        <w:t xml:space="preserve">obesity </w:t>
      </w:r>
      <w:r w:rsidR="00A37744">
        <w:rPr>
          <w:color w:val="000000" w:themeColor="text1"/>
        </w:rPr>
        <w:t>is</w:t>
      </w:r>
      <w:r w:rsidR="00A37744" w:rsidRPr="00DD6539">
        <w:rPr>
          <w:color w:val="000000" w:themeColor="text1"/>
        </w:rPr>
        <w:t xml:space="preserve"> not consistent and </w:t>
      </w:r>
      <w:r w:rsidR="00A37744">
        <w:rPr>
          <w:color w:val="000000" w:themeColor="text1"/>
        </w:rPr>
        <w:t>is</w:t>
      </w:r>
      <w:r w:rsidR="00A37744" w:rsidRPr="00DD6539">
        <w:rPr>
          <w:color w:val="000000" w:themeColor="text1"/>
        </w:rPr>
        <w:t xml:space="preserve"> driven by </w:t>
      </w:r>
      <w:r w:rsidR="00A37744">
        <w:rPr>
          <w:color w:val="000000" w:themeColor="text1"/>
        </w:rPr>
        <w:t xml:space="preserve">different </w:t>
      </w:r>
      <w:r w:rsidR="00A37744" w:rsidRPr="00DD6539">
        <w:rPr>
          <w:color w:val="000000" w:themeColor="text1"/>
        </w:rPr>
        <w:t>anthropomor</w:t>
      </w:r>
      <w:r w:rsidR="00A37744">
        <w:rPr>
          <w:color w:val="000000" w:themeColor="text1"/>
        </w:rPr>
        <w:t>phic measurements, such as BMI and waist-</w:t>
      </w:r>
      <w:r w:rsidR="00A37744" w:rsidRPr="00A37744">
        <w:rPr>
          <w:color w:val="000000" w:themeColor="text1"/>
        </w:rPr>
        <w:t>hip ratio</w:t>
      </w:r>
      <w:r w:rsidR="00A37744" w:rsidRPr="00DD6539">
        <w:rPr>
          <w:color w:val="000000" w:themeColor="text1"/>
        </w:rPr>
        <w:t xml:space="preserve">. </w:t>
      </w:r>
      <w:r w:rsidR="007F5A24" w:rsidRPr="007F5A24">
        <w:rPr>
          <w:color w:val="000000" w:themeColor="text1"/>
        </w:rPr>
        <w:t xml:space="preserve">Also, the reality is that these measurements do not </w:t>
      </w:r>
      <w:r w:rsidR="002D5C9E">
        <w:rPr>
          <w:color w:val="000000" w:themeColor="text1"/>
        </w:rPr>
        <w:t>always</w:t>
      </w:r>
      <w:r w:rsidR="002D5C9E" w:rsidRPr="002D5C9E">
        <w:rPr>
          <w:color w:val="000000" w:themeColor="text1"/>
        </w:rPr>
        <w:t xml:space="preserve"> </w:t>
      </w:r>
      <w:r w:rsidR="007F5A24" w:rsidRPr="007F5A24">
        <w:rPr>
          <w:color w:val="000000" w:themeColor="text1"/>
        </w:rPr>
        <w:t xml:space="preserve">predict metabolic health due to the fact that is being obese does not </w:t>
      </w:r>
      <w:r w:rsidR="002D5C9E">
        <w:rPr>
          <w:color w:val="000000" w:themeColor="text1"/>
        </w:rPr>
        <w:t>c</w:t>
      </w:r>
      <w:r w:rsidR="002D5C9E" w:rsidRPr="002D5C9E">
        <w:rPr>
          <w:color w:val="000000" w:themeColor="text1"/>
        </w:rPr>
        <w:t xml:space="preserve">onsistently </w:t>
      </w:r>
      <w:r w:rsidR="007F5A24" w:rsidRPr="007F5A24">
        <w:rPr>
          <w:color w:val="000000" w:themeColor="text1"/>
        </w:rPr>
        <w:t>mean to have metabolic abnormalities (e.g.</w:t>
      </w:r>
      <w:r w:rsidR="007F5A24">
        <w:rPr>
          <w:color w:val="000000" w:themeColor="text1"/>
        </w:rPr>
        <w:t>,</w:t>
      </w:r>
      <w:r w:rsidR="007F5A24" w:rsidRPr="007F5A24">
        <w:rPr>
          <w:color w:val="000000" w:themeColor="text1"/>
        </w:rPr>
        <w:t xml:space="preserve"> insulin resistance)</w:t>
      </w:r>
      <w:r w:rsidR="004A5798">
        <w:rPr>
          <w:color w:val="000000" w:themeColor="text1"/>
        </w:rPr>
        <w:t xml:space="preserve"> </w:t>
      </w:r>
      <w:r w:rsidR="004A5798">
        <w:rPr>
          <w:color w:val="000000" w:themeColor="text1"/>
        </w:rPr>
        <w:fldChar w:fldCharType="begin"/>
      </w:r>
      <w:r w:rsidR="004A5798">
        <w:rPr>
          <w:color w:val="000000" w:themeColor="text1"/>
        </w:rPr>
        <w:instrText xml:space="preserve"> ADDIN ZOTERO_ITEM CSL_CITATION {"citationID":"6YvGHud5","properties":{"formattedCitation":"[13]","plainCitation":"[13]","noteIndex":0},"citationItems":[{"id":31,"uris":["http://zotero.org/users/local/82XhB2vR/items/LIFZND82"],"uri":["http://zotero.org/users/local/82XhB2vR/items/LIFZND82"],"itemData":{"id":31,"type":"article-journal","title":"Metabolic health and weight: Understanding metabolically unhealthy normal weight or metabolically healthy obese patients","container-title":"Metabolism: Clinical and Experimental","page":"73-80","volume":"65","issue":"1","source":"PubMed","DOI":"10.1016/j.metabol.2015.10.019","ISSN":"1532-8600","note":"PMID: 26683798\nPMCID: PMC4750380","shortTitle":"Metabolic health and weight","journalAbbreviation":"Metab. Clin. Exp.","language":"eng","author":[{"family":"Mathew","given":"Hannah"},{"family":"Farr","given":"Olivia M."},{"family":"Mantzoros","given":"Christos S."}],"issued":{"date-parts":[["2016",1]]}}}],"schema":"https://github.com/citation-style-language/schema/raw/master/csl-citation.json"} </w:instrText>
      </w:r>
      <w:r w:rsidR="004A5798">
        <w:rPr>
          <w:color w:val="000000" w:themeColor="text1"/>
        </w:rPr>
        <w:fldChar w:fldCharType="separate"/>
      </w:r>
      <w:r w:rsidR="004A5798">
        <w:rPr>
          <w:noProof/>
          <w:color w:val="000000" w:themeColor="text1"/>
        </w:rPr>
        <w:t>[13]</w:t>
      </w:r>
      <w:r w:rsidR="004A5798">
        <w:rPr>
          <w:color w:val="000000" w:themeColor="text1"/>
        </w:rPr>
        <w:fldChar w:fldCharType="end"/>
      </w:r>
      <w:r w:rsidR="007F5A24" w:rsidRPr="007F5A24">
        <w:rPr>
          <w:color w:val="000000" w:themeColor="text1"/>
        </w:rPr>
        <w:t xml:space="preserve">. </w:t>
      </w:r>
      <w:r w:rsidR="00DE7790" w:rsidRPr="00DE7790">
        <w:rPr>
          <w:color w:val="000000" w:themeColor="text1"/>
        </w:rPr>
        <w:t>Also, these studies were conducted in different races, ethnicities, and menopausal statuses which possibly have impacts on these receptors</w:t>
      </w:r>
      <w:r w:rsidR="00D25CA7">
        <w:rPr>
          <w:color w:val="000000" w:themeColor="text1"/>
        </w:rPr>
        <w:t xml:space="preserve"> </w:t>
      </w:r>
      <w:r w:rsidR="006B2403">
        <w:rPr>
          <w:color w:val="000000" w:themeColor="text1"/>
        </w:rPr>
        <w:fldChar w:fldCharType="begin"/>
      </w:r>
      <w:r w:rsidR="00125D50">
        <w:rPr>
          <w:color w:val="000000" w:themeColor="text1"/>
        </w:rPr>
        <w:instrText xml:space="preserve"> ADDIN ZOTERO_ITEM CSL_CITATION {"citationID":"gq9T6GGg","properties":{"formattedCitation":"[14\\uc0\\u8211{}16]","plainCitation":"[14–16]","noteIndex":0},"citationItems":[{"id":33,"uris":["http://zotero.org/users/local/82XhB2vR/items/QWIN8QK8"],"uri":["http://zotero.org/users/local/82XhB2vR/items/QWIN8QK8"],"itemData":{"id":33,"type":"article-journal","title":"Retrospective evaluation of breast cancer patients with five or more axillary lymph node involvement achieving 5-year overall survival","container-title":"The European Research Journal","source":"Crossref","URL":"http://dergipark.gov.tr/doi/10.18621/eurj.368447","DOI":"10.18621/eurj.368447","ISSN":"2149-3189","author":[{"family":"Yersal","given":"Özlem"},{"family":"Yiğit","given":"Mehmet"},{"family":"Meydan","given":"Nezih"},{"family":"Barutca","given":"Sabri"}],"issued":{"date-parts":[["2018",5,16]]},"accessed":{"date-parts":[["2018",8,29]]}}},{"id":34,"uris":["http://zotero.org/users/local/82XhB2vR/items/JN8GLVYT"],"uri":["http://zotero.org/users/local/82XhB2vR/items/JN8GLVYT"],"itemData":{"id":34,"type":"article-journal","title":"The Carolina Breast Cancer Study: integrating population-based epidemiology and molecular biology","container-title":"Breast Cancer Research and Treatment","page":"51-60","volume":"35","issue":"1","source":"PubMed","abstract":"The integration of epidemiology and molecular biology provides a new strategy to identify additional risk factors for breast cancer and to better understand the role played by traditionally recognized risk factors. The Carolina Breast Cancer Study (CBCS) is a population-based, case-control study designed to identify causes of breast cancer among Caucasian and African-American women who are residents of a 24-county area of central and eastern North Carolina. Information on established and potential breast cancer risk factors is obtained by personal interviews. Blood samples are collected from all consenting participants. Medical record documentation and paraffin-embedded tumor specimens are obtained for all breast cancer patients. DNA from tumor tissue is tested for a variety of molecular alterations characteristic of breast cancer. Germline DNA from blood lymphocytes is evaluated for presence of alleles increasing susceptibility to breast cancer. Statistical analyses evaluate gene-environment interaction by exploring the associations between environmental/behavioral factors and breast cancer in relation to specific molecular alterations (germline and tumor). Results will help identify high-risk women, clarify causal pathways, and hopefully contribute to the prevention of breast cancer.","ISSN":"0167-6806","note":"PMID: 7612904","shortTitle":"The Carolina Breast Cancer Study","journalAbbreviation":"Breast Cancer Res. Treat.","language":"eng","author":[{"family":"Newman","given":"B."},{"family":"Moorman","given":"P. G."},{"family":"Millikan","given":"R."},{"family":"Qaqish","given":"B. F."},{"family":"Geradts","given":"J."},{"family":"Aldrich","given":"T. E."},{"family":"Liu","given":"E. T."}],"issued":{"date-parts":[["1995",7]]}}},{"id":36,"uris":["http://zotero.org/users/local/82XhB2vR/items/V9ZB6VWW"],"uri":["http://zotero.org/users/local/82XhB2vR/items/V9ZB6VWW"],"itemData":{"id":36,"type":"article-journal","title":"Race/ethnicity and breast cancer estrogen receptor status: impact of class, missing data, and modeling assumptions","container-title":"Cancer causes &amp; control: CCC","page":"1305-1318","volume":"19","issue":"10","source":"PubMed","abstract":"OBJECTIVE: To test whether reported associations between race/ethnicity and breast cancer estrogen receptor (ER) status are inflated due to missing ER data, lack of socioeconomic data, and use of the odds ratio (OR) rather than the prevalence ratio (PR).\nMETHODS: We geocoded and added census tract socioeconomic data to all cases of primary invasive breast cancer (n = 42,420) among women diagnosed between 1998 and 2002 in two California cancer registries (San Francisco Bay Area; Los Angeles County) and analyzed the data using log binomial regression.\nRESULTS: Adjusting for socioeconomic position and tumor characteristics, in models using the imputed data, reduced the PR for the black versus white excess risk of being ER--from 1.76 (95% CI: 1.66, 1.86; adjusted for age and catchment area) to 1.47 (95% CI: 1.38, 1.56). The latter parameter estimate was 16% greater (i.e., 1.56) in models excluding women with missing ER data, and was 43% greater when estimated using the OR (i.e., 1.82).\nCONCLUSION(S): Studies on race/ethnicity and ER status that fail to account for missing data and socioeconomic data and report the OR are likely to yield inflated estimates of racial/ethnic disparities in ER status.","DOI":"10.1007/s10552-008-9202-1","ISSN":"1573-7225","note":"PMID: 18704721\nPMCID: PMC2635927","shortTitle":"Race/ethnicity and breast cancer estrogen receptor status","journalAbbreviation":"Cancer Causes Control","language":"eng","author":[{"family":"Krieger","given":"Nancy"},{"family":"Chen","given":"Jarvis T."},{"family":"Ware","given":"James H."},{"family":"Kaddour","given":"Afamia"}],"issued":{"date-parts":[["2008",12]]}}}],"schema":"https://github.com/citation-style-language/schema/raw/master/csl-citation.json"} </w:instrText>
      </w:r>
      <w:r w:rsidR="006B2403">
        <w:rPr>
          <w:color w:val="000000" w:themeColor="text1"/>
        </w:rPr>
        <w:fldChar w:fldCharType="separate"/>
      </w:r>
      <w:r w:rsidR="00125D50" w:rsidRPr="00125D50">
        <w:rPr>
          <w:rFonts w:eastAsia="Times New Roman"/>
          <w:color w:val="000000"/>
        </w:rPr>
        <w:t>[14–16]</w:t>
      </w:r>
      <w:r w:rsidR="006B2403">
        <w:rPr>
          <w:color w:val="000000" w:themeColor="text1"/>
        </w:rPr>
        <w:fldChar w:fldCharType="end"/>
      </w:r>
      <w:r w:rsidR="00A37744" w:rsidRPr="00DD6539">
        <w:rPr>
          <w:color w:val="000000" w:themeColor="text1"/>
        </w:rPr>
        <w:t>.</w:t>
      </w:r>
      <w:r w:rsidR="00B228B6">
        <w:rPr>
          <w:color w:val="000000" w:themeColor="text1"/>
        </w:rPr>
        <w:t xml:space="preserve"> </w:t>
      </w:r>
    </w:p>
    <w:p w14:paraId="44AE2462" w14:textId="17412AB6" w:rsidR="00F77EC9" w:rsidRDefault="00F77EC9" w:rsidP="000304E2">
      <w:pPr>
        <w:spacing w:line="480" w:lineRule="auto"/>
        <w:ind w:firstLine="720"/>
        <w:jc w:val="both"/>
        <w:rPr>
          <w:color w:val="000000" w:themeColor="text1"/>
        </w:rPr>
      </w:pPr>
      <w:r w:rsidRPr="00F77EC9">
        <w:rPr>
          <w:color w:val="000000" w:themeColor="text1"/>
        </w:rPr>
        <w:t xml:space="preserve">In this Turkish population-based study, we have shown that while there were significant differences in ER, PR, HER2, and triple-negative receptor statuses between pre- and post-menopausal groups, no difference was found regarding </w:t>
      </w:r>
      <w:r w:rsidR="00681D7B">
        <w:rPr>
          <w:color w:val="000000" w:themeColor="text1"/>
        </w:rPr>
        <w:t xml:space="preserve">to </w:t>
      </w:r>
      <w:r w:rsidRPr="00F77EC9">
        <w:rPr>
          <w:color w:val="000000" w:themeColor="text1"/>
        </w:rPr>
        <w:t>these markers between obese and non-obese patients within each group except in triple-negative receptor status in postmenopausal patients.</w:t>
      </w:r>
      <w:r w:rsidR="00253907">
        <w:rPr>
          <w:color w:val="000000" w:themeColor="text1"/>
        </w:rPr>
        <w:t xml:space="preserve"> </w:t>
      </w:r>
      <w:r w:rsidR="00C154A3">
        <w:rPr>
          <w:color w:val="000000" w:themeColor="text1"/>
        </w:rPr>
        <w:t>Likewise,</w:t>
      </w:r>
      <w:r w:rsidR="00253907">
        <w:rPr>
          <w:color w:val="000000" w:themeColor="text1"/>
        </w:rPr>
        <w:t xml:space="preserve"> we could not find any difference in 5-year mortality rate </w:t>
      </w:r>
      <w:r w:rsidR="00253907">
        <w:rPr>
          <w:color w:val="000000" w:themeColor="text1"/>
        </w:rPr>
        <w:lastRenderedPageBreak/>
        <w:t xml:space="preserve">between </w:t>
      </w:r>
      <w:r w:rsidR="00253907" w:rsidRPr="00F77EC9">
        <w:rPr>
          <w:color w:val="000000" w:themeColor="text1"/>
        </w:rPr>
        <w:t>pre- and post-menopausal groups</w:t>
      </w:r>
      <w:r w:rsidR="00466DC2">
        <w:rPr>
          <w:color w:val="000000" w:themeColor="text1"/>
        </w:rPr>
        <w:t xml:space="preserve"> also, b</w:t>
      </w:r>
      <w:r w:rsidR="00466DC2" w:rsidRPr="00F77EC9">
        <w:rPr>
          <w:color w:val="000000" w:themeColor="text1"/>
        </w:rPr>
        <w:t>etween obese and non-obese patients within each group</w:t>
      </w:r>
      <w:r w:rsidR="00253907">
        <w:rPr>
          <w:color w:val="000000" w:themeColor="text1"/>
        </w:rPr>
        <w:t xml:space="preserve">. </w:t>
      </w:r>
    </w:p>
    <w:p w14:paraId="2DB0558E" w14:textId="5356BE57" w:rsidR="00647190" w:rsidRDefault="004D1CF0" w:rsidP="000304E2">
      <w:pPr>
        <w:spacing w:line="480" w:lineRule="auto"/>
        <w:ind w:firstLine="720"/>
        <w:jc w:val="both"/>
        <w:rPr>
          <w:color w:val="000000" w:themeColor="text1"/>
        </w:rPr>
      </w:pPr>
      <w:r w:rsidRPr="004D1CF0">
        <w:rPr>
          <w:color w:val="000000" w:themeColor="text1"/>
        </w:rPr>
        <w:t xml:space="preserve">A recently published review by </w:t>
      </w:r>
      <w:proofErr w:type="spellStart"/>
      <w:r w:rsidRPr="004D1CF0">
        <w:rPr>
          <w:color w:val="000000" w:themeColor="text1"/>
        </w:rPr>
        <w:t>Jiralerspong</w:t>
      </w:r>
      <w:proofErr w:type="spellEnd"/>
      <w:r w:rsidRPr="004D1CF0">
        <w:rPr>
          <w:color w:val="000000" w:themeColor="text1"/>
        </w:rPr>
        <w:t xml:space="preserve"> et al. has emphasized the contradictory results of </w:t>
      </w:r>
      <w:r w:rsidR="001C0B41">
        <w:rPr>
          <w:color w:val="000000" w:themeColor="text1"/>
        </w:rPr>
        <w:t xml:space="preserve">the </w:t>
      </w:r>
      <w:r w:rsidRPr="004D1CF0">
        <w:rPr>
          <w:color w:val="000000" w:themeColor="text1"/>
        </w:rPr>
        <w:t>studies investigating the effect of BMI</w:t>
      </w:r>
      <w:r w:rsidR="005D02B6">
        <w:rPr>
          <w:color w:val="000000" w:themeColor="text1"/>
        </w:rPr>
        <w:t>/obesity</w:t>
      </w:r>
      <w:r w:rsidRPr="004D1CF0">
        <w:rPr>
          <w:color w:val="000000" w:themeColor="text1"/>
        </w:rPr>
        <w:t xml:space="preserve"> on survival and mortality</w:t>
      </w:r>
      <w:r>
        <w:rPr>
          <w:color w:val="000000" w:themeColor="text1"/>
        </w:rPr>
        <w:t xml:space="preserve"> </w:t>
      </w:r>
      <w:r>
        <w:rPr>
          <w:color w:val="000000" w:themeColor="text1"/>
        </w:rPr>
        <w:fldChar w:fldCharType="begin"/>
      </w:r>
      <w:r>
        <w:rPr>
          <w:color w:val="000000" w:themeColor="text1"/>
        </w:rPr>
        <w:instrText xml:space="preserve"> ADDIN ZOTERO_ITEM CSL_CITATION {"citationID":"7SnH2cIV","properties":{"formattedCitation":"[17]","plainCitation":"[17]","noteIndex":0},"citationItems":[{"id":38,"uris":["http://zotero.org/users/local/82XhB2vR/items/MBXQT765"],"uri":["http://zotero.org/users/local/82XhB2vR/items/MBXQT765"],"itemData":{"id":38,"type":"article-journal","title":"Obesity and Breast Cancer Prognosis: Evidence, Challenges, and Opportunities","container-title":"Journal of Clinical Oncology","page":"4203-4216","volume":"34","issue":"35","source":"Crossref","DOI":"10.1200/JCO.2016.68.4480","ISSN":"0732-183X, 1527-7755","shortTitle":"Obesity and Breast Cancer Prognosis","language":"en","author":[{"family":"Jiralerspong","given":"Sao"},{"family":"Goodwin","given":"Pamela J."}],"issued":{"date-parts":[["2016",12,10]]}}}],"schema":"https://github.com/citation-style-language/schema/raw/master/csl-citation.json"} </w:instrText>
      </w:r>
      <w:r>
        <w:rPr>
          <w:color w:val="000000" w:themeColor="text1"/>
        </w:rPr>
        <w:fldChar w:fldCharType="separate"/>
      </w:r>
      <w:r>
        <w:rPr>
          <w:noProof/>
          <w:color w:val="000000" w:themeColor="text1"/>
        </w:rPr>
        <w:t>[17]</w:t>
      </w:r>
      <w:r>
        <w:rPr>
          <w:color w:val="000000" w:themeColor="text1"/>
        </w:rPr>
        <w:fldChar w:fldCharType="end"/>
      </w:r>
      <w:r w:rsidRPr="004D1CF0">
        <w:rPr>
          <w:color w:val="000000" w:themeColor="text1"/>
        </w:rPr>
        <w:t xml:space="preserve">. </w:t>
      </w:r>
      <w:r w:rsidR="00073782">
        <w:rPr>
          <w:color w:val="000000" w:themeColor="text1"/>
        </w:rPr>
        <w:t xml:space="preserve">They also have tried to </w:t>
      </w:r>
      <w:r w:rsidR="002E1412" w:rsidRPr="002E1412">
        <w:rPr>
          <w:color w:val="000000" w:themeColor="text1"/>
        </w:rPr>
        <w:t>elucidate</w:t>
      </w:r>
      <w:r w:rsidR="002E1412">
        <w:rPr>
          <w:color w:val="000000" w:themeColor="text1"/>
        </w:rPr>
        <w:t xml:space="preserve"> </w:t>
      </w:r>
      <w:r w:rsidR="00073782">
        <w:rPr>
          <w:color w:val="000000" w:themeColor="text1"/>
        </w:rPr>
        <w:t xml:space="preserve">these inconsistent results </w:t>
      </w:r>
      <w:r w:rsidR="002B0786">
        <w:rPr>
          <w:color w:val="000000" w:themeColor="text1"/>
        </w:rPr>
        <w:t xml:space="preserve">by </w:t>
      </w:r>
      <w:r w:rsidR="002B0786" w:rsidRPr="002B0786">
        <w:rPr>
          <w:color w:val="000000" w:themeColor="text1"/>
        </w:rPr>
        <w:t>several potential explanations</w:t>
      </w:r>
      <w:r w:rsidR="002E1412">
        <w:rPr>
          <w:color w:val="000000" w:themeColor="text1"/>
        </w:rPr>
        <w:t>, such as study design, type of population and population variables.</w:t>
      </w:r>
      <w:r w:rsidR="007A0058">
        <w:rPr>
          <w:color w:val="000000" w:themeColor="text1"/>
        </w:rPr>
        <w:t xml:space="preserve"> </w:t>
      </w:r>
      <w:r w:rsidR="00647190" w:rsidRPr="00647190">
        <w:rPr>
          <w:color w:val="000000" w:themeColor="text1"/>
        </w:rPr>
        <w:t xml:space="preserve">Because there are several factors affecting the survival in BC, </w:t>
      </w:r>
      <w:r w:rsidR="00647190">
        <w:rPr>
          <w:color w:val="000000" w:themeColor="text1"/>
        </w:rPr>
        <w:t>this study has</w:t>
      </w:r>
      <w:r w:rsidR="00647190" w:rsidRPr="00647190">
        <w:rPr>
          <w:color w:val="000000" w:themeColor="text1"/>
        </w:rPr>
        <w:t xml:space="preserve"> focused on the </w:t>
      </w:r>
      <w:r w:rsidR="0091139F" w:rsidRPr="00647190">
        <w:rPr>
          <w:color w:val="000000" w:themeColor="text1"/>
        </w:rPr>
        <w:t xml:space="preserve">impact of BMI </w:t>
      </w:r>
      <w:r w:rsidR="0091139F">
        <w:rPr>
          <w:color w:val="000000" w:themeColor="text1"/>
        </w:rPr>
        <w:t xml:space="preserve">on </w:t>
      </w:r>
      <w:r w:rsidR="00647190" w:rsidRPr="00647190">
        <w:rPr>
          <w:color w:val="000000" w:themeColor="text1"/>
        </w:rPr>
        <w:t>receptor status rather than survival.</w:t>
      </w:r>
    </w:p>
    <w:p w14:paraId="5335AFE0" w14:textId="5F7EC8ED" w:rsidR="004D1CF0" w:rsidRDefault="00457633" w:rsidP="000304E2">
      <w:pPr>
        <w:spacing w:line="480" w:lineRule="auto"/>
        <w:ind w:firstLine="720"/>
        <w:jc w:val="both"/>
        <w:rPr>
          <w:color w:val="000000" w:themeColor="text1"/>
        </w:rPr>
      </w:pPr>
      <w:r w:rsidRPr="00457633">
        <w:rPr>
          <w:color w:val="000000" w:themeColor="text1"/>
        </w:rPr>
        <w:t>Likewise, there is incompatible results regarding the effect of obesity on IHC markers in literature</w:t>
      </w:r>
      <w:r w:rsidR="00A03027">
        <w:rPr>
          <w:color w:val="000000" w:themeColor="text1"/>
        </w:rPr>
        <w:t xml:space="preserve">, also most of them focused on the </w:t>
      </w:r>
      <w:r w:rsidR="00A03027" w:rsidRPr="00A03027">
        <w:rPr>
          <w:color w:val="000000" w:themeColor="text1"/>
        </w:rPr>
        <w:t>triple-negative</w:t>
      </w:r>
      <w:r w:rsidR="00A03027">
        <w:rPr>
          <w:color w:val="000000" w:themeColor="text1"/>
        </w:rPr>
        <w:t xml:space="preserve"> or </w:t>
      </w:r>
      <w:r w:rsidR="007463BB">
        <w:rPr>
          <w:color w:val="000000" w:themeColor="text1"/>
        </w:rPr>
        <w:t>ER +/- BC patients</w:t>
      </w:r>
      <w:r w:rsidR="00A03027">
        <w:rPr>
          <w:color w:val="000000" w:themeColor="text1"/>
        </w:rPr>
        <w:t xml:space="preserve"> </w:t>
      </w:r>
      <w:r w:rsidR="00C24484">
        <w:rPr>
          <w:color w:val="000000" w:themeColor="text1"/>
        </w:rPr>
        <w:t xml:space="preserve"> </w:t>
      </w:r>
      <w:r w:rsidR="00C24484">
        <w:rPr>
          <w:color w:val="000000" w:themeColor="text1"/>
        </w:rPr>
        <w:fldChar w:fldCharType="begin"/>
      </w:r>
      <w:r w:rsidR="004B460D">
        <w:rPr>
          <w:color w:val="000000" w:themeColor="text1"/>
        </w:rPr>
        <w:instrText xml:space="preserve"> ADDIN ZOTERO_ITEM CSL_CITATION {"citationID":"YV86zpmH","properties":{"formattedCitation":"[18\\uc0\\u8211{}21]","plainCitation":"[18–21]","noteIndex":0},"citationItems":[{"id":39,"uris":["http://zotero.org/users/local/82XhB2vR/items/J2SI9YKM"],"uri":["http://zotero.org/users/local/82XhB2vR/items/J2SI9YKM"],"itemData":{"id":39,"type":"article-journal","title":"Body size and breast cancer prognosis in relation to hormone receptor and menopausal status: a meta-analysis","container-title":"Breast Cancer Research and Treatment","page":"769-781","volume":"134","issue":"2","source":"PubMed","abstract":"Obesity is associated with poor survival after breast cancer diagnosis in individual studies and meta-analyses. Evidence regarding associations of obesity with breast cancer-specific survival (BCSS) and overall survival (OS) in relation to hormone receptor status, or BCSS in relation to menopausal status has not been evaluated in a previous meta-analysis. In this study, we conducted a meta-analysis of the association of obesity with OS and BCSS in relation to hormone receptor status and menopausal status. MEDLINE, EMBASE, and COCHRANE databases from the first record to December 2011 and presentations made at major international meetings in the last 5 years were searched. We included observational or interventional studies reporting hazard ratios (HRs) of obesity with OS and/or BCSS in relation to hormone receptor and/or menopausal status. Twenty-one studies qualified, meeting the above criteria. The pooled HR for OS in heavier versus lighter women was 1.31 (95 % CI 1.17-1.46) for estrogen receptor/progesterone receptor (ER/PgR) positive cancers; 1.18 (95 % CI 1.06-1.31) for ER/PgR negative cancers; and the difference between the two groups was not significant (p = 0.31). The pooled HR for OS in heavier versus lighter women was 1.23 (95 % CI 1.07-1.42) for premenopausal women and 1.15 (95 % CI 1.06-1.26) for post-menopausal women, and the difference between the two groups was not significant (p = 0.57). Comparable pooled HRs for BCSS were 1.36 (95 % CI 1.20-1.54) for ER/PgR positive cancers and 1.46 (95 % CI 0.98-2.19) for ER/PgR negative cancers; and 1.18 (95 % CI 0.82-1.70) for pre-menopausal women and 1.38 (95 % CI 1.11-1.71) for post-menopausal women, also without significant group differences. Results were similar after adjustment for BMI measurement technique, years of follow-up, or study design. These findings led us to conclude that there is no evidence showing that the association of obesity with breast cancer outcome differs by hormone receptor or menopausal status. This has implications for studies of weight loss interventions in the adjuvant BC setting.","DOI":"10.1007/s10549-012-2073-x","ISSN":"1573-7217","note":"PMID: 22562122","shortTitle":"Body size and breast cancer prognosis in relation to hormone receptor and menopausal status","journalAbbreviation":"Breast Cancer Res. Treat.","language":"eng","author":[{"family":"Niraula","given":"Saroj"},{"family":"Ocana","given":"Alberto"},{"family":"Ennis","given":"Marguerite"},{"family":"Goodwin","given":"Pamela J."}],"issued":{"date-parts":[["2012",7]]}}},{"id":30,"uris":["http://zotero.org/users/local/82XhB2vR/items/63MFPG7F"],"uri":["http://zotero.org/users/local/82XhB2vR/items/63MFPG7F"],"itemData":{"id":30,"type":"article-journal","title":"The association between body mass index and immunohistochemical subtypes in breast cancer","container-title":"The Breast","page":"227-236","volume":"32","source":"Crossref","DOI":"10.1016/j.breast.2016.09.019","ISSN":"09609776","language":"en","author":[{"family":"Sahin","given":"Suleyman"},{"family":"Erdem","given":"Gokmen U."},{"family":"Karatas","given":"Fatih"},{"family":"Aytekin","given":"Aydin"},{"family":"Sever","given":"Ali R."},{"family":"Ozisik","given":"Yavuz"},{"family":"Altundag","given":"Kadri"}],"issued":{"date-parts":[["2017",4]]}}},{"id":41,"uris":["http://zotero.org/users/local/82XhB2vR/items/6B4L2P33"],"uri":["http://zotero.org/users/local/82XhB2vR/items/6B4L2P33"],"itemData":{"id":41,"type":"article-journal","title":"Overweight as a Prognostic Factor for Triple-Negative Breast Cancers in Chinese Women","container-title":"PloS One","page":"e0129741","volume":"10","issue":"6","source":"PubMed","abstract":"PURPOSE: Obesity is associated with poorer outcomes in patients with hormone receptor-positive breast cancers, but this association is not well established for women with triple-negative breast cancers (TNBC). Here, we investigated the prognostic effects of body mass index (BMI) on clinical outcomes in patients with TNBC.\nMETHODS: We identified 1106 patients with TNBC who met the inclusion criteria and were treated between January 2002 and June 2012. Clinical and biological features were collected to evaluate the relation between BMI and breast cancer-specific survival (BCSS) and overall survival (OS) after controlling for other clinically significant variables.\nRESULTS: Of 1106 patients, 656 (59.3%) were normal weight (BMI ≤24) and 450 patients (40.7%) were overweight(BMI&gt;24). Median follow-up time was 44.8 months. Breast cancer specific death was observed in 140 patients. After adjusting for clinicopathologic risk factors, overweight was associated with OS (hazard ratio [HR]: 1.46, 95% confidence interval [CI]: 1.04-2.06, P =0.028) but not BCSS (HR: 1.34, 95% CI: 0.90-2.01, P =0.15)in all the patients with TNBC. When stratified with menopausal status, overweight was associated with BCSS and OS (HR: 2.27, 95% CI: 1.11-4.63, P = 0.024 and HR: 2.16, 95% CI: 1.21-3.87, P = 0.010, respectively) in premenopausal women. BMI was not associated with BCSS or OS in postmenopausal women.\nCONCLUSIONS: Overweight is an independent prognostic factor of OS in all women with TNBC, and menopause status may be a mitigating factor. Among premenopausal women, overweight women are at a greater risk of poor prognosis than normal weight women. If validated, these findings should be considered in developing preventive programs.","DOI":"10.1371/journal.pone.0129741","ISSN":"1932-6203","note":"PMID: 26107623\nPMCID: PMC4479880","journalAbbreviation":"PLoS ONE","language":"eng","author":[{"family":"Hao","given":"Shuang"},{"family":"Liu","given":"Yin"},{"family":"Yu","given":"Ke-Da"},{"family":"Chen","given":"Sheng"},{"family":"Yang","given":"Wen-Tao"},{"family":"Shao","given":"Zhi-Min"}],"issued":{"date-parts":[["2015"]]}}},{"id":43,"uris":["http://zotero.org/users/local/82XhB2vR/items/7HIXKFSD"],"uri":["http://zotero.org/users/local/82XhB2vR/items/7HIXKFSD"],"itemData":{"id":43,"type":"article-journal","title":"Effects of obesity and race on prognosis in lymph node-negative, estrogen receptor-negative breast cancer","container-title":"Breast Cancer Research and Treatment","page":"245-254","volume":"97","issue":"3","source":"Crossref","DOI":"10.1007/s10549-005-9118-3","ISSN":"0167-6806, 1573-7217","language":"en","author":[{"family":"Dignam","given":"James J."},{"family":"Wieand","given":"Kelly"},{"family":"Johnson","given":"Karen A."},{"family":"Raich","given":"Peter"},{"family":"Anderson","given":"Stewart J."},{"family":"Somkin","given":"Carol"},{"family":"Wickerham","given":"D. Lawrence"}],"issued":{"date-parts":[["2006",6]]}}}],"schema":"https://github.com/citation-style-language/schema/raw/master/csl-citation.json"} </w:instrText>
      </w:r>
      <w:r w:rsidR="00C24484">
        <w:rPr>
          <w:color w:val="000000" w:themeColor="text1"/>
        </w:rPr>
        <w:fldChar w:fldCharType="separate"/>
      </w:r>
      <w:r w:rsidR="004B460D" w:rsidRPr="004B460D">
        <w:rPr>
          <w:rFonts w:eastAsia="Times New Roman"/>
          <w:color w:val="000000"/>
        </w:rPr>
        <w:t>[18–2</w:t>
      </w:r>
      <w:r w:rsidR="00877EA9">
        <w:rPr>
          <w:rFonts w:eastAsia="Times New Roman"/>
          <w:color w:val="000000"/>
        </w:rPr>
        <w:t>0</w:t>
      </w:r>
      <w:r w:rsidR="004B460D" w:rsidRPr="004B460D">
        <w:rPr>
          <w:rFonts w:eastAsia="Times New Roman"/>
          <w:color w:val="000000"/>
        </w:rPr>
        <w:t>]</w:t>
      </w:r>
      <w:r w:rsidR="00C24484">
        <w:rPr>
          <w:color w:val="000000" w:themeColor="text1"/>
        </w:rPr>
        <w:fldChar w:fldCharType="end"/>
      </w:r>
      <w:r w:rsidRPr="00457633">
        <w:rPr>
          <w:color w:val="000000" w:themeColor="text1"/>
        </w:rPr>
        <w:t xml:space="preserve">. </w:t>
      </w:r>
    </w:p>
    <w:p w14:paraId="0A31E76E" w14:textId="60DCDC92" w:rsidR="00B94195" w:rsidRPr="00B94195" w:rsidRDefault="00B94195" w:rsidP="000304E2">
      <w:pPr>
        <w:spacing w:line="480" w:lineRule="auto"/>
        <w:ind w:firstLine="720"/>
        <w:jc w:val="both"/>
        <w:rPr>
          <w:color w:val="000000" w:themeColor="text1"/>
        </w:rPr>
      </w:pPr>
      <w:r w:rsidRPr="00B94195">
        <w:rPr>
          <w:color w:val="000000" w:themeColor="text1"/>
        </w:rPr>
        <w:t xml:space="preserve">According to our study results, we agree with the result of a meta-analysis designed by </w:t>
      </w:r>
      <w:proofErr w:type="spellStart"/>
      <w:r w:rsidRPr="00B94195">
        <w:rPr>
          <w:color w:val="000000" w:themeColor="text1"/>
        </w:rPr>
        <w:t>Cheraghi</w:t>
      </w:r>
      <w:proofErr w:type="spellEnd"/>
      <w:r w:rsidRPr="00B94195">
        <w:rPr>
          <w:color w:val="000000" w:themeColor="text1"/>
        </w:rPr>
        <w:t xml:space="preserve"> et al., which reported that the role of obesity on BC is not clinically crucial despite the significant statistics of </w:t>
      </w:r>
      <w:r w:rsidR="00F30CD5">
        <w:rPr>
          <w:color w:val="000000" w:themeColor="text1"/>
        </w:rPr>
        <w:t xml:space="preserve">the </w:t>
      </w:r>
      <w:r w:rsidRPr="00B94195">
        <w:rPr>
          <w:color w:val="000000" w:themeColor="text1"/>
        </w:rPr>
        <w:t>some previous trials.</w:t>
      </w:r>
    </w:p>
    <w:p w14:paraId="1B4C68FB" w14:textId="77777777" w:rsidR="00DD6539" w:rsidRDefault="00DD6539" w:rsidP="000304E2">
      <w:pPr>
        <w:spacing w:line="480" w:lineRule="auto"/>
        <w:jc w:val="both"/>
        <w:rPr>
          <w:color w:val="000000" w:themeColor="text1"/>
        </w:rPr>
      </w:pPr>
    </w:p>
    <w:p w14:paraId="0217FD8B" w14:textId="2DFA7C89" w:rsidR="00F30CD5" w:rsidRDefault="00F30CD5" w:rsidP="000304E2">
      <w:pPr>
        <w:spacing w:line="480" w:lineRule="auto"/>
        <w:ind w:firstLine="720"/>
        <w:jc w:val="both"/>
        <w:rPr>
          <w:b/>
          <w:i/>
          <w:color w:val="000000" w:themeColor="text1"/>
        </w:rPr>
      </w:pPr>
      <w:commentRangeStart xmlns:rel="http://schemas.openxmlformats.org/package/2006/relationships" w:id="9" xml:space="preserve"/>
      <w:r w:rsidRPr="00F30CD5">
        <w:rPr>
          <w:b/>
          <w:i/>
          <w:color w:val="000000" w:themeColor="text1"/>
        </w:rPr>
        <w:t xml:space="preserve">Conclusion</w:t>
      </w:r>
      <w:r w:rsidR="00B4120A">
        <w:rPr>
          <w:b/>
          <w:i/>
          <w:color w:val="000000" w:themeColor="text1"/>
        </w:rPr>
        <w:t>s</w:t>
      </w:r>
    </w:p>
    <w:p w14:paraId="38D33530" w14:textId="2038E3FF" w:rsidR="00383113" w:rsidRPr="00383113" w:rsidRDefault="00383113" w:rsidP="000304E2">
      <w:pPr>
        <w:spacing w:line="480" w:lineRule="auto"/>
        <w:ind w:firstLine="720"/>
        <w:jc w:val="both"/>
        <w:rPr>
          <w:color w:val="000000" w:themeColor="text1"/>
        </w:rPr>
      </w:pPr>
      <w:r xml:space="preserve">
        <w:rPr>
          <w:color w:val="000000" w:themeColor="text1"/>
        </w:rPr>
        <w:t/>
      </w:r>
      <w:commentRangeEnd xmlns:rel="http://schemas.openxmlformats.org/package/2006/relationships" w:id="9" xml:space="preserve"/>
      <w:r>
        <w:rPr>
          <w:rStyle w:val="CommentReference"/>
        </w:rPr>
        <w:commentReference w:id="9"/>
      </w:r>
      <w:r xml:space="preserve">
        <w:rPr>
          <w:color w:val="000000" w:themeColor="text1"/>
        </w:rPr>
        <w:t xml:space="preserve">The l</w:t>
      </w:r>
      <w:r w:rsidR="007147F2">
        <w:rPr>
          <w:color w:val="000000" w:themeColor="text1"/>
        </w:rPr>
        <w:t xml:space="preserve">iterature has contradictory results regarding the effect of BMI on either survival/mortality or IHC markers. </w:t>
      </w:r>
      <w:r w:rsidRPr="00383113">
        <w:rPr>
          <w:color w:val="000000" w:themeColor="text1"/>
        </w:rPr>
        <w:t>The results of our study which is conducted in the Turkish population showed that while menopausal status has an impact on ER, PR, HER2, and triple-negative receptor statuses, obesity seems to have not the same impact on these markers.</w:t>
      </w:r>
    </w:p>
    <w:p w14:paraId="46EA151E" w14:textId="1D390A60" w:rsidR="009856FE" w:rsidRDefault="009856FE" w:rsidP="00B4120A">
      <w:pPr>
        <w:autoSpaceDE w:val="0"/>
        <w:autoSpaceDN w:val="0"/>
        <w:adjustRightInd w:val="0"/>
        <w:spacing w:line="480" w:lineRule="auto"/>
        <w:jc w:val="both"/>
        <w:rPr>
          <w:b/>
          <w:i/>
          <w:color w:val="000000" w:themeColor="text1"/>
        </w:rPr>
      </w:pPr>
    </w:p>
    <w:p w14:paraId="094C8ED7" w14:textId="6B4283AB" w:rsidR="00B4120A" w:rsidRPr="00B4120A" w:rsidRDefault="00B4120A" w:rsidP="00B4120A">
      <w:pPr>
        <w:autoSpaceDE w:val="0"/>
        <w:autoSpaceDN w:val="0"/>
        <w:adjustRightInd w:val="0"/>
        <w:spacing w:line="480" w:lineRule="auto"/>
        <w:ind w:firstLine="720"/>
        <w:jc w:val="both"/>
        <w:rPr>
          <w:bCs/>
          <w:iCs/>
          <w:color w:val="000000" w:themeColor="text1"/>
        </w:rPr>
      </w:pPr>
      <w:commentRangeStart xmlns:rel="http://schemas.openxmlformats.org/package/2006/relationships" w:id="8" xml:space="preserve"/>
      <w:r w:rsidRPr="00B4120A" xml:space="preserve">
        <w:rPr>
          <w:b/>
          <w:i/>
          <w:color w:val="000000" w:themeColor="text1"/>
        </w:rPr>
        <w:t xml:space="preserve">Conflict of Interest:</w:t>
      </w:r>
      <w:commentRangeEnd xmlns:rel="http://schemas.openxmlformats.org/package/2006/relationships" w:id="8" xml:space="preserve"/>
      <w:r>
        <w:rPr>
          <w:rStyle w:val="CommentReference"/>
        </w:rPr>
        <w:commentReference w:id="8"/>
      </w:r>
      <w:r w:rsidRPr="00B4120A" xml:space="preserve">
        <w:rPr>
          <w:b/>
          <w:i/>
          <w:color w:val="000000" w:themeColor="text1"/>
        </w:rPr>
        <w:t xml:space="preserve"> </w:t>
      </w:r>
      <w:r w:rsidRPr="00B4120A">
        <w:rPr>
          <w:bCs/>
          <w:iCs/>
          <w:color w:val="000000" w:themeColor="text1"/>
        </w:rPr>
        <w:t>None of the authors have any conflicts of interest or financial ties to disclose.</w:t>
      </w:r>
    </w:p>
    <w:p w14:paraId="3DD4F652" w14:textId="77777777" w:rsidR="00B4120A" w:rsidRDefault="00B4120A" w:rsidP="000304E2">
      <w:pPr>
        <w:autoSpaceDE w:val="0"/>
        <w:autoSpaceDN w:val="0"/>
        <w:adjustRightInd w:val="0"/>
        <w:spacing w:line="480" w:lineRule="auto"/>
        <w:ind w:firstLine="720"/>
        <w:jc w:val="both"/>
        <w:rPr>
          <w:bCs/>
          <w:iCs/>
          <w:color w:val="000000" w:themeColor="text1"/>
        </w:rPr>
      </w:pPr>
    </w:p>
    <w:p w14:paraId="6C2221F3" w14:textId="71C2160D" w:rsidR="00B4120A" w:rsidRPr="00B4120A" w:rsidRDefault="00B4120A" w:rsidP="000304E2">
      <w:pPr>
        <w:autoSpaceDE w:val="0"/>
        <w:autoSpaceDN w:val="0"/>
        <w:adjustRightInd w:val="0"/>
        <w:spacing w:line="480" w:lineRule="auto"/>
        <w:ind w:firstLine="720"/>
        <w:jc w:val="both"/>
        <w:rPr>
          <w:bCs/>
          <w:iCs/>
          <w:color w:val="000000" w:themeColor="text1"/>
        </w:rPr>
      </w:pPr>
      <w:r w:rsidRPr="00B4120A">
        <w:rPr>
          <w:bCs/>
          <w:iCs/>
          <w:color w:val="000000" w:themeColor="text1"/>
        </w:rPr>
        <w:t>This research didn't receive grants from any funding agency in the public, commercial or not-for-profit sectors.</w:t>
      </w:r>
    </w:p>
    <w:p w14:paraId="46ABBA06" w14:textId="77777777" w:rsidR="009856FE" w:rsidRDefault="009856FE" w:rsidP="000304E2">
      <w:pPr>
        <w:autoSpaceDE w:val="0"/>
        <w:autoSpaceDN w:val="0"/>
        <w:adjustRightInd w:val="0"/>
        <w:spacing w:line="480" w:lineRule="auto"/>
        <w:ind w:firstLine="720"/>
        <w:jc w:val="both"/>
        <w:rPr>
          <w:color w:val="000000" w:themeColor="text1"/>
        </w:rPr>
      </w:pPr>
    </w:p>
    <w:p w14:paraId="54A26260" w14:textId="730DF314" w:rsidR="003B00FF" w:rsidRPr="00435D65" w:rsidRDefault="003B00FF" w:rsidP="000304E2">
      <w:pPr>
        <w:autoSpaceDE w:val="0"/>
        <w:autoSpaceDN w:val="0"/>
        <w:adjustRightInd w:val="0"/>
        <w:spacing w:line="480" w:lineRule="auto"/>
        <w:jc w:val="both"/>
        <w:rPr>
          <w:b/>
          <w:color w:val="000000" w:themeColor="text1"/>
        </w:rPr>
      </w:pPr>
      <w:commentRangeStart xmlns:rel="http://schemas.openxmlformats.org/package/2006/relationships" w:id="7" xml:space="preserve"/>
      <w:r w:rsidRPr="00435D65">
        <w:rPr>
          <w:b/>
          <w:color w:val="000000" w:themeColor="text1"/>
        </w:rPr>
        <w:t xml:space="preserve">References:</w:t>
      </w:r>
    </w:p>
    <w:p w14:paraId="73A31E67" w14:textId="4350B815" w:rsidR="00B94195" w:rsidRPr="009E30E0" w:rsidRDefault="003B00FF" w:rsidP="000304E2">
      <w:pPr>
        <w:pStyle w:val="Bibliography"/>
        <w:spacing w:line="480" w:lineRule="auto"/>
      </w:pPr>
      <w:r w:rsidRPr="009E30E0">
        <w:rPr>
          <w:color w:val="000000" w:themeColor="text1"/>
        </w:rPr>
        <w:fldChar w:fldCharType="begin"/>
      </w:r>
      <w:r w:rsidR="00D131D7" w:rsidRPr="009E30E0">
        <w:rPr>
          <w:color w:val="000000" w:themeColor="text1"/>
        </w:rPr>
        <w:instrText xml:space="preserve"> ADDIN ZOTERO_BIBL {"uncited":[],"omitted":[],"custom":[]} CSL_BIBLIOGRAPHY </w:instrText>
      </w:r>
      <w:r w:rsidRPr="009E30E0">
        <w:rPr>
          <w:color w:val="000000" w:themeColor="text1"/>
        </w:rPr>
        <w:fldChar w:fldCharType="separate"/>
      </w:r>
      <w:commentRangeStart xmlns:rel="http://schemas.openxmlformats.org/package/2006/relationships" w:id="6" xml:space="preserve"/>
      <w:r w:rsidR="00B94195" w:rsidRPr="009E30E0" xml:space="preserve">
        <w:t xml:space="preserve"/>
      </w:r>
      <w:commentRangeEnd xmlns:rel="http://schemas.openxmlformats.org/package/2006/relationships" w:id="7" xml:space="preserve"/>
      <w:r>
        <w:rPr>
          <w:rStyle w:val="CommentReference"/>
        </w:rPr>
        <w:commentReference w:id="7"/>
      </w:r>
      <w:r w:rsidR="00B94195" w:rsidRPr="009E30E0" xml:space="preserve">
        <w:t xml:space="preserve">[1] </w:t>
      </w:r>
      <w:r w:rsidR="00B94195" w:rsidRPr="009E30E0">
        <w:tab/>
        <w:t>Wang YC, McPherson K,</w:t>
      </w:r>
      <w:r w:rsidR="009E30E0" w:rsidRPr="009E30E0">
        <w:t xml:space="preserve"> Marsh T, Gortmaker SL, Brown M,</w:t>
      </w:r>
      <w:r w:rsidR="00B94195" w:rsidRPr="009E30E0">
        <w:t xml:space="preserve"> Health and economic burden of the projected obesity trends in the USA and the UK. The Lancet. 2011;378:815–25.</w:t>
      </w:r>
    </w:p>
    <w:p w14:paraId="53D25971" w14:textId="07F2DFF0" w:rsidR="00B94195" w:rsidRPr="009E30E0" w:rsidRDefault="009E30E0" w:rsidP="000304E2">
      <w:pPr>
        <w:pStyle w:val="Bibliography"/>
        <w:spacing w:line="480" w:lineRule="auto"/>
      </w:pPr>
      <w:r w:rsidRPr="009E30E0" xml:space="preserve">
        <w:t xml:space="preserve"/>
      </w:r>
      <w:commentRangeEnd xmlns:rel="http://schemas.openxmlformats.org/package/2006/relationships" w:id="6" xml:space="preserve"/>
      <w:r>
        <w:rPr>
          <w:rStyle w:val="CommentReference"/>
        </w:rPr>
        <w:commentReference w:id="6"/>
      </w:r>
      <w:r w:rsidRPr="009E30E0" xml:space="preserve">
        <w:t xml:space="preserve">[2] </w:t>
      </w:r>
      <w:r w:rsidRPr="009E30E0">
        <w:tab/>
        <w:t>Goodwin PJ, Stambolic V,</w:t>
      </w:r>
      <w:r w:rsidR="00B94195" w:rsidRPr="009E30E0">
        <w:t xml:space="preserve"> Impact of the obesity epidemic on cancer. Annu. Rev. Med. 2015;66:281–96.</w:t>
      </w:r>
    </w:p>
    <w:p w14:paraId="47BE1FFD" w14:textId="338B2504" w:rsidR="00B94195" w:rsidRPr="009E30E0" w:rsidRDefault="00B94195" w:rsidP="000304E2">
      <w:pPr>
        <w:pStyle w:val="Bibliography"/>
        <w:spacing w:line="480" w:lineRule="auto"/>
      </w:pPr>
      <w:r w:rsidRPr="009E30E0">
        <w:t xml:space="preserve">[3] </w:t>
      </w:r>
      <w:r w:rsidRPr="009E30E0">
        <w:tab/>
        <w:t>Torre LA, Islami</w:t>
      </w:r>
      <w:r w:rsidR="009E30E0" w:rsidRPr="009E30E0">
        <w:t xml:space="preserve"> F, Siegel RL, Ward EM, Jemal A,</w:t>
      </w:r>
      <w:r w:rsidRPr="009E30E0">
        <w:t xml:space="preserve"> Global Cancer in Women: Burden and Trends. Cancer Epidemiol. Oncol. 2017;26.</w:t>
      </w:r>
    </w:p>
    <w:p w14:paraId="63DE01E1" w14:textId="77777777" w:rsidR="00B94195" w:rsidRPr="009E30E0" w:rsidRDefault="00B94195" w:rsidP="000304E2">
      <w:pPr>
        <w:pStyle w:val="Bibliography"/>
        <w:spacing w:line="480" w:lineRule="auto"/>
      </w:pPr>
      <w:r w:rsidRPr="009E30E0">
        <w:t xml:space="preserve">[4] </w:t>
      </w:r>
      <w:r w:rsidRPr="009E30E0">
        <w:tab/>
        <w:t>Collaborative Group on Hormonal Factors in Breast Cancer. Menarche, menopause, and breast cancer risk: individual participant meta-analysis, including 118 964 women with breast cancer from 117 epidemiological studies. Lancet Oncol. 2012;13:1141–51.</w:t>
      </w:r>
    </w:p>
    <w:p w14:paraId="56FAEDD4" w14:textId="459FBB38" w:rsidR="00B94195" w:rsidRPr="009E30E0" w:rsidRDefault="00B94195" w:rsidP="000304E2">
      <w:pPr>
        <w:pStyle w:val="Bibliography"/>
        <w:spacing w:line="480" w:lineRule="auto"/>
      </w:pPr>
      <w:r w:rsidRPr="009E30E0">
        <w:t xml:space="preserve">[5] </w:t>
      </w:r>
      <w:r w:rsidRPr="009E30E0">
        <w:tab/>
        <w:t>Rice MS, Eliassen AH, Hankinson SE, L</w:t>
      </w:r>
      <w:r w:rsidR="009E30E0" w:rsidRPr="009E30E0">
        <w:t>enart EB, Willett WC, Tamimi RM,</w:t>
      </w:r>
      <w:r w:rsidRPr="009E30E0">
        <w:t xml:space="preserve"> Breast Cancer Research in the Nurses’ Health Studies: Exposures Across the Life Course. Am. J. Public Health. 2016;106:1592–98.</w:t>
      </w:r>
    </w:p>
    <w:p w14:paraId="7382B6BA" w14:textId="2FF62015" w:rsidR="00B94195" w:rsidRPr="009E30E0" w:rsidRDefault="00B94195" w:rsidP="000304E2">
      <w:pPr>
        <w:pStyle w:val="Bibliography"/>
        <w:spacing w:line="480" w:lineRule="auto"/>
      </w:pPr>
      <w:commentRangeStart xmlns:rel="http://schemas.openxmlformats.org/package/2006/relationships" w:id="5" xml:space="preserve"/>
      <w:r w:rsidRPr="009E30E0">
        <w:t xml:space="preserve">[</w:t>
      </w:r>
      <w:r w:rsidR="007C490B">
        <w:t>5</w:t>
      </w:r>
      <w:r w:rsidRPr="009E30E0">
        <w:t xml:space="preserve">] </w:t>
      </w:r>
      <w:r w:rsidRPr="009E30E0">
        <w:tab/>
        <w:t xml:space="preserve">Picon-Ruiz M, Morata-Tarifa C, Valle-Goffin </w:t>
      </w:r>
      <w:r w:rsidR="009E30E0" w:rsidRPr="009E30E0">
        <w:t>JJ, Friedman ER, Slingerland JM,</w:t>
      </w:r>
      <w:r w:rsidRPr="009E30E0">
        <w:t xml:space="preserve"> Obesity and adverse breast cancer risk and outcome: Mechanistic insights and strategies for intervention: Breast Cancer, Inflammation, and Obesity. CA. Cancer J. Clin. 2017;67:378–97.</w:t>
      </w:r>
    </w:p>
    <w:p w14:paraId="78A9002B" w14:textId="0CB5EF7A" w:rsidR="00B94195" w:rsidRPr="009E30E0" w:rsidRDefault="009E30E0" w:rsidP="000304E2">
      <w:pPr>
        <w:pStyle w:val="Bibliography"/>
        <w:spacing w:line="480" w:lineRule="auto"/>
      </w:pPr>
      <w:r w:rsidRPr="009E30E0" xml:space="preserve">
        <w:t xml:space="preserve"/>
      </w:r>
      <w:commentRangeEnd xmlns:rel="http://schemas.openxmlformats.org/package/2006/relationships" w:id="5" xml:space="preserve"/>
      <w:r>
        <w:rPr>
          <w:rStyle w:val="CommentReference"/>
        </w:rPr>
        <w:commentReference w:id="5"/>
      </w:r>
      <w:r w:rsidRPr="009E30E0" xml:space="preserve">
        <w:t xml:space="preserve">[7] </w:t>
      </w:r>
      <w:r w:rsidRPr="009E30E0">
        <w:tab/>
        <w:t>Tang P, Tse GM,</w:t>
      </w:r>
      <w:r w:rsidR="00B94195" w:rsidRPr="009E30E0">
        <w:t xml:space="preserve"> Immunohistochemical Surrogates for Molecular Classification of Breast Carcinoma: A 2015 Update. Arch. Pathol. Lab. Med. 2016;140:806–14.</w:t>
      </w:r>
    </w:p>
    <w:p w14:paraId="0678628B" w14:textId="1404359C" w:rsidR="00B94195" w:rsidRPr="009E30E0" w:rsidRDefault="00B94195" w:rsidP="000304E2">
      <w:pPr>
        <w:pStyle w:val="Bibliography"/>
        <w:spacing w:line="480" w:lineRule="auto"/>
      </w:pPr>
      <w:r w:rsidRPr="009E30E0">
        <w:t xml:space="preserve">[8] </w:t>
      </w:r>
      <w:r w:rsidRPr="009E30E0">
        <w:tab/>
        <w:t>Onitilo AA, E</w:t>
      </w:r>
      <w:r w:rsidR="009E30E0" w:rsidRPr="009E30E0">
        <w:t>ngel JM, Greenlee RT, Mukesh BN</w:t>
      </w:r>
      <w:r w:rsidRPr="009E30E0">
        <w:t>. Clin. Med. Res. 2009;7:4–13.</w:t>
      </w:r>
    </w:p>
    <w:p w14:paraId="536917C8" w14:textId="0A18F4AB" w:rsidR="00B94195" w:rsidRPr="009E30E0" w:rsidRDefault="00B94195" w:rsidP="000304E2">
      <w:pPr>
        <w:pStyle w:val="Bibliography"/>
        <w:spacing w:line="480" w:lineRule="auto"/>
      </w:pPr>
      <w:r w:rsidRPr="009E30E0">
        <w:lastRenderedPageBreak/>
        <w:t xml:space="preserve">[9] </w:t>
      </w:r>
      <w:r w:rsidRPr="009E30E0">
        <w:tab/>
        <w:t>Iyen</w:t>
      </w:r>
      <w:r w:rsidR="009E30E0" w:rsidRPr="009E30E0">
        <w:t>gar NM, Hudis CA, Dannenberg AJ,</w:t>
      </w:r>
      <w:r w:rsidRPr="009E30E0">
        <w:t xml:space="preserve"> Obesity and inflammation: new insights into breast cancer development and progression. Am. Soc. Clin. Oncol. Educ. Book Am. Soc. Clin. Oncol. Meet. 2013:46–51.</w:t>
      </w:r>
    </w:p>
    <w:p w14:paraId="01C230B9" w14:textId="7C17E2B7" w:rsidR="00B94195" w:rsidRPr="009E30E0" w:rsidRDefault="00B94195" w:rsidP="000304E2">
      <w:pPr>
        <w:pStyle w:val="Bibliography"/>
        <w:spacing w:line="480" w:lineRule="auto"/>
      </w:pPr>
      <w:r w:rsidRPr="009E30E0">
        <w:t xml:space="preserve">[10] </w:t>
      </w:r>
      <w:r w:rsidRPr="009E30E0">
        <w:tab/>
        <w:t>Gospodarowi</w:t>
      </w:r>
      <w:r w:rsidR="009E30E0" w:rsidRPr="009E30E0">
        <w:t xml:space="preserve">cz MK, </w:t>
      </w:r>
      <w:r w:rsidRPr="009E30E0">
        <w:t>John Wiley &amp; Sons. 2017.</w:t>
      </w:r>
    </w:p>
    <w:p w14:paraId="11D3CD40" w14:textId="03F1EEF0" w:rsidR="00B94195" w:rsidRPr="009E30E0" w:rsidRDefault="00B94195" w:rsidP="000304E2">
      <w:pPr>
        <w:pStyle w:val="Bibliography"/>
        <w:spacing w:line="480" w:lineRule="auto"/>
      </w:pPr>
      <w:r w:rsidRPr="009E30E0">
        <w:t xml:space="preserve">[11] </w:t>
      </w:r>
      <w:r w:rsidRPr="009E30E0">
        <w:tab/>
        <w:t>Hanby AM, wa</w:t>
      </w:r>
      <w:r w:rsidR="009E30E0" w:rsidRPr="009E30E0">
        <w:t>lker C. Tavassoli FA, Devilee P,</w:t>
      </w:r>
      <w:r w:rsidRPr="009E30E0">
        <w:t xml:space="preserve"> Pathology and Genetics: Tumours of the Breast and Female Genital Organs. WHO Classification of Tumours series - volume IV. Lyon, France: IARC Press: 2003. 250pp. ISBN 92 832 2412 4. Breast Cancer Res. 2004. doi:10.1186/bcr788.</w:t>
      </w:r>
    </w:p>
    <w:p w14:paraId="0575D1E5" w14:textId="77777777" w:rsidR="00B94195" w:rsidRPr="009E30E0" w:rsidRDefault="00B94195" w:rsidP="000304E2">
      <w:pPr>
        <w:pStyle w:val="Bibliography"/>
        <w:spacing w:line="480" w:lineRule="auto"/>
      </w:pPr>
      <w:r w:rsidRPr="009E30E0">
        <w:t xml:space="preserve">[12] </w:t>
      </w:r>
      <w:r w:rsidRPr="009E30E0">
        <w:tab/>
        <w:t>World Health Organization. Obesity: preventing and managing the global epidemic. Report of a WHO Consultation presented at the World Health Organization, June 3–5, 1997, Geneva, Switzerland. 1997.</w:t>
      </w:r>
    </w:p>
    <w:p w14:paraId="1401E6CE" w14:textId="7CFEE853" w:rsidR="00B94195" w:rsidRPr="009E30E0" w:rsidRDefault="00B94195" w:rsidP="000304E2">
      <w:pPr>
        <w:pStyle w:val="Bibliography"/>
        <w:spacing w:line="480" w:lineRule="auto"/>
      </w:pPr>
      <w:r w:rsidRPr="009E30E0">
        <w:t xml:space="preserve">[13] </w:t>
      </w:r>
      <w:r w:rsidRPr="009E30E0">
        <w:tab/>
      </w:r>
      <w:r w:rsidR="009E30E0" w:rsidRPr="009E30E0">
        <w:t>Mathew H, Farr OM, Mantzoros CS,</w:t>
      </w:r>
      <w:r w:rsidRPr="009E30E0">
        <w:t xml:space="preserve"> Metabolic health and weight: Understanding metabolically unhealthy normal weight or metabolically healthy obese patients. Metabolism. 2016;65:73–80.</w:t>
      </w:r>
    </w:p>
    <w:p w14:paraId="2800318C" w14:textId="2405F39B" w:rsidR="00B94195" w:rsidRPr="009E30E0" w:rsidRDefault="00B94195" w:rsidP="000304E2">
      <w:pPr>
        <w:pStyle w:val="Bibliography"/>
        <w:spacing w:line="480" w:lineRule="auto"/>
      </w:pPr>
      <w:r w:rsidRPr="009E30E0">
        <w:t xml:space="preserve">[14] </w:t>
      </w:r>
      <w:r w:rsidRPr="009E30E0">
        <w:tab/>
        <w:t xml:space="preserve">Yersal </w:t>
      </w:r>
      <w:r w:rsidR="009E30E0" w:rsidRPr="009E30E0">
        <w:t>Ö, Yiğit M, Meydan N, Barutca S,</w:t>
      </w:r>
      <w:r w:rsidRPr="009E30E0">
        <w:t xml:space="preserve"> Retrospective evaluation of breast cancer patients with five or more axillary lymph node involvement achieving 5-year overall survival. Eur. Res. J. 2018. doi:10.18621/eurj.368447.</w:t>
      </w:r>
    </w:p>
    <w:p w14:paraId="2A7990FE" w14:textId="77777777" w:rsidR="00B94195" w:rsidRPr="009E30E0" w:rsidRDefault="00B94195" w:rsidP="000304E2">
      <w:pPr>
        <w:pStyle w:val="Bibliography"/>
        <w:spacing w:line="480" w:lineRule="auto"/>
      </w:pPr>
      <w:r w:rsidRPr="009E30E0">
        <w:t xml:space="preserve">[15] </w:t>
      </w:r>
      <w:r w:rsidRPr="009E30E0">
        <w:tab/>
        <w:t>Newman B, Moorman PG, Millikan R, Qaqish BF, Geradts J, Aldrich TE, et al. The Carolina Breast Cancer Study: integrating population-based epidemiology and molecular biology. Breast Cancer Res. Treat. 1995;35:51–60.</w:t>
      </w:r>
    </w:p>
    <w:p w14:paraId="14BC1E8B" w14:textId="48C05A70" w:rsidR="00B94195" w:rsidRPr="009E30E0" w:rsidRDefault="00B94195" w:rsidP="000304E2">
      <w:pPr>
        <w:pStyle w:val="Bibliography"/>
        <w:spacing w:line="480" w:lineRule="auto"/>
      </w:pPr>
      <w:r w:rsidRPr="009E30E0">
        <w:lastRenderedPageBreak/>
        <w:t xml:space="preserve">[16] </w:t>
      </w:r>
      <w:r w:rsidRPr="009E30E0">
        <w:tab/>
        <w:t xml:space="preserve">Krieger N, Chen JT, Ware JH, Kaddour </w:t>
      </w:r>
      <w:r w:rsidR="009E30E0" w:rsidRPr="009E30E0">
        <w:t>A,</w:t>
      </w:r>
      <w:r w:rsidRPr="009E30E0">
        <w:t xml:space="preserve"> Race/ethnicity and breast cancer estrogen receptor status: impact of class, missing data, and modeling assumptions. Cancer Causes Control CCC. 2008;19:1305–18.</w:t>
      </w:r>
    </w:p>
    <w:p w14:paraId="0FEC6BCD" w14:textId="2837B5EE" w:rsidR="00B94195" w:rsidRPr="009E30E0" w:rsidRDefault="00B94195" w:rsidP="000304E2">
      <w:pPr>
        <w:pStyle w:val="Bibliography"/>
        <w:spacing w:line="480" w:lineRule="auto"/>
      </w:pPr>
      <w:r w:rsidRPr="009E30E0">
        <w:t>[</w:t>
      </w:r>
      <w:r w:rsidR="009E30E0" w:rsidRPr="009E30E0">
        <w:t xml:space="preserve">17] </w:t>
      </w:r>
      <w:r w:rsidR="009E30E0" w:rsidRPr="009E30E0">
        <w:tab/>
        <w:t>Jiralerspong S, Goodwin PJ,</w:t>
      </w:r>
      <w:r w:rsidRPr="009E30E0">
        <w:t xml:space="preserve"> Obesity and Breast Cancer Prognosis: Evidence, Challenges, and Opportunities. J. Clin. Oncol. 2016;34:4203–16.</w:t>
      </w:r>
      <w:r w:rsidR="00965316">
        <w:t xml:space="preserve"> </w:t>
      </w:r>
      <w:r w:rsidR="00965316" w:rsidRPr="00965316">
        <w:t>DOI: 10.1200/JCO.2016.68.</w:t>
      </w:r>
      <w:r w:rsidR="00224432">
        <w:t>111</w:t>
      </w:r>
    </w:p>
    <w:p w14:paraId="7BF05EE0" w14:textId="09F87D19" w:rsidR="00B94195" w:rsidRPr="009E30E0" w:rsidRDefault="00B94195" w:rsidP="000304E2">
      <w:pPr>
        <w:pStyle w:val="Bibliography"/>
        <w:spacing w:line="480" w:lineRule="auto"/>
      </w:pPr>
      <w:r w:rsidRPr="009E30E0">
        <w:t xml:space="preserve">[18] </w:t>
      </w:r>
      <w:r w:rsidRPr="009E30E0">
        <w:tab/>
        <w:t xml:space="preserve">Niraula </w:t>
      </w:r>
      <w:r w:rsidR="009E30E0" w:rsidRPr="009E30E0">
        <w:t>S, Ocana A, Ennis M, Goodwin PJ,</w:t>
      </w:r>
      <w:r w:rsidRPr="009E30E0">
        <w:t xml:space="preserve"> Body size and breast cancer prognosis in relation to hormone receptor and menopausal status: a meta-analysis. Breast Cancer Res. Treat. 2012;134:769–81.</w:t>
      </w:r>
    </w:p>
    <w:p w14:paraId="4F74BB8C" w14:textId="559094AD" w:rsidR="00B94195" w:rsidRPr="009E30E0" w:rsidRDefault="00B94195" w:rsidP="000304E2">
      <w:pPr>
        <w:pStyle w:val="Bibliography"/>
        <w:spacing w:line="480" w:lineRule="auto"/>
      </w:pPr>
      <w:r w:rsidRPr="009E30E0">
        <w:t xml:space="preserve">[19] </w:t>
      </w:r>
      <w:r w:rsidRPr="009E30E0">
        <w:tab/>
      </w:r>
      <w:r w:rsidR="007C490B" w:rsidRPr="009E30E0">
        <w:t>Krieger N, Chen JT, Ware JH, Kaddour A, Race/ethnicity and breast cancer estrogen receptor status: impact of class, missing data, and modeling assumptions. Cancer Causes Control CCC. 2008;19:1305–18</w:t>
      </w:r>
      <w:r w:rsidRPr="009E30E0">
        <w:t>.</w:t>
      </w:r>
    </w:p>
    <w:p w14:paraId="4C4BD395" w14:textId="6CF7A848" w:rsidR="00B94195" w:rsidRPr="009E30E0" w:rsidRDefault="00B94195" w:rsidP="000304E2">
      <w:pPr>
        <w:pStyle w:val="Bibliography"/>
        <w:spacing w:line="480" w:lineRule="auto"/>
      </w:pPr>
      <w:r w:rsidRPr="009E30E0">
        <w:t xml:space="preserve">[20] </w:t>
      </w:r>
      <w:r w:rsidRPr="009E30E0">
        <w:tab/>
        <w:t xml:space="preserve">Hao S, Liu Y, Yu </w:t>
      </w:r>
      <w:r w:rsidR="009E30E0" w:rsidRPr="009E30E0">
        <w:t>K-D, Chen S, Yang W-T, Shao Z-M,</w:t>
      </w:r>
      <w:r w:rsidRPr="009E30E0">
        <w:t xml:space="preserve"> Overweight as a Prognostic Factor for Triple-Negative Breast Cancers in Chinese Women. PloS One. 2015;10:e0129741.</w:t>
      </w:r>
    </w:p>
    <w:p w14:paraId="1400E049" w14:textId="77777777" w:rsidR="00B94195" w:rsidRPr="009E30E0" w:rsidRDefault="00B94195" w:rsidP="000304E2">
      <w:pPr>
        <w:pStyle w:val="Bibliography"/>
        <w:spacing w:line="480" w:lineRule="auto"/>
      </w:pPr>
      <w:commentRangeStart xmlns:rel="http://schemas.openxmlformats.org/package/2006/relationships" w:id="4" xml:space="preserve"/>
      <w:r w:rsidRPr="009E30E0">
        <w:t xml:space="preserve">[21] </w:t>
      </w:r>
      <w:r w:rsidRPr="009E30E0">
        <w:tab/>
        <w:t>Dignam JJ, Wieand K, Johnson KA, Raich P, Anderson SJ, Somkin C, et al. Effects of obesity and race on prognosis in lymph node-negative, estrogen receptor-negative breast cancer. Breast Cancer Res. Treat. 2006;97:245–54.</w:t>
      </w:r>
    </w:p>
    <w:p w14:paraId="00A90C3E" w14:textId="36A0977B" w:rsidR="00B94195" w:rsidRPr="009E30E0" w:rsidRDefault="00B94195" w:rsidP="000304E2">
      <w:pPr>
        <w:pStyle w:val="Bibliography"/>
        <w:spacing w:line="480" w:lineRule="auto"/>
      </w:pPr>
      <w:commentRangeStart xmlns:rel="http://schemas.openxmlformats.org/package/2006/relationships" w:id="3" xml:space="preserve"/>
      <w:r w:rsidRPr="009E30E0" xml:space="preserve">
        <w:t xml:space="preserve"/>
      </w:r>
      <w:commentRangeEnd xmlns:rel="http://schemas.openxmlformats.org/package/2006/relationships" w:id="4" xml:space="preserve"/>
      <w:r>
        <w:rPr>
          <w:rStyle w:val="CommentReference"/>
        </w:rPr>
        <w:commentReference w:id="4"/>
      </w:r>
      <w:r w:rsidRPr="009E30E0" xml:space="preserve">
        <w:t xml:space="preserve">[22] </w:t>
      </w:r>
      <w:r w:rsidRPr="009E30E0">
        <w:tab/>
        <w:t>Cheraghi Z, Poorolajal J, Hashem T</w:t>
      </w:r>
      <w:r w:rsidR="009E30E0" w:rsidRPr="009E30E0">
        <w:t>, Esmailnasab N, Doosti Irani A,</w:t>
      </w:r>
      <w:r w:rsidRPr="009E30E0">
        <w:t xml:space="preserve"> Effect of Body Mass Index on Breast Cancer during Premenopausal and Postmenopausal Periods: A Meta-Analysis. PLoS ONE. 2012;7:e51446.</w:t>
      </w:r>
    </w:p>
    <w:p w14:paraId="649CEBC6" w14:textId="08AB0A54" w:rsidR="003B00FF" w:rsidRDefault="003B00FF" w:rsidP="000304E2">
      <w:pPr>
        <w:autoSpaceDE w:val="0"/>
        <w:autoSpaceDN w:val="0"/>
        <w:adjustRightInd w:val="0"/>
        <w:spacing w:line="480" w:lineRule="auto"/>
        <w:jc w:val="both"/>
        <w:rPr>
          <w:color w:val="000000" w:themeColor="text1"/>
        </w:rPr>
      </w:pPr>
      <w:r w:rsidRPr="009E30E0">
        <w:rPr>
          <w:color w:val="000000" w:themeColor="text1"/>
        </w:rPr>
        <w:fldChar w:fldCharType="end"/>
      </w:r>
    </w:p>
    <w:p w14:paraId="3C74D78B" w14:textId="77777777" w:rsidR="00F30CD5" w:rsidRDefault="00F30CD5" w:rsidP="000304E2">
      <w:pPr>
        <w:autoSpaceDE w:val="0"/>
        <w:autoSpaceDN w:val="0"/>
        <w:adjustRightInd w:val="0"/>
        <w:spacing w:line="480" w:lineRule="auto"/>
        <w:ind w:firstLine="720"/>
        <w:jc w:val="both"/>
        <w:rPr>
          <w:color w:val="000000" w:themeColor="text1"/>
        </w:rPr>
        <w:sectPr w:rsidR="00F30CD5" w:rsidSect="00BA79E3">
          <w:footerReference w:type="even" r:id="rId9"/>
          <w:footerReference w:type="default" r:id="rId10"/>
          <w:pgSz w:w="11900" w:h="16840"/>
          <w:pgMar w:top="1417" w:right="1417" w:bottom="1417" w:left="1417" w:header="708" w:footer="708" w:gutter="0"/>
          <w:cols w:space="708"/>
          <w:docGrid w:linePitch="360"/>
        </w:sectPr>
      </w:pPr>
    </w:p>
    <w:p w14:paraId="2407A90F" w14:textId="299A7B14" w:rsidR="00F30CD5" w:rsidRDefault="000D5E17" w:rsidP="000304E2">
      <w:pPr>
        <w:autoSpaceDE w:val="0"/>
        <w:autoSpaceDN w:val="0"/>
        <w:adjustRightInd w:val="0"/>
        <w:spacing w:line="480" w:lineRule="auto"/>
        <w:jc w:val="both"/>
        <w:rPr>
          <w:color w:val="FF0000"/>
        </w:rPr>
      </w:pPr>
      <w:commentRangeStart xmlns:rel="http://schemas.openxmlformats.org/package/2006/relationships" w:id="1" xml:space="preserve"/>
      <w:commentRangeStart xmlns:rel="http://schemas.openxmlformats.org/package/2006/relationships" w:id="2" xml:space="preserve"/>
      <w:r w:rsidRPr="00F30CD5" xml:space="preserve">
        <w:rPr>
          <w:color w:val="000000" w:themeColor="text1"/>
        </w:rPr>
        <w:lastRenderedPageBreak/>
        <w:t xml:space="preserve"/>
      </w:r>
      <w:commentRangeEnd xmlns:rel="http://schemas.openxmlformats.org/package/2006/relationships" w:id="3" xml:space="preserve"/>
      <w:r>
        <w:rPr>
          <w:rStyle w:val="CommentReference"/>
        </w:rPr>
        <w:commentReference w:id="3"/>
      </w:r>
      <w:r w:rsidRPr="00F30CD5" xml:space="preserve">
        <w:rPr>
          <w:color w:val="000000" w:themeColor="text1"/>
        </w:rPr>
        <w:lastRenderedPageBreak/>
        <w:t xml:space="preserve">Table 1: </w:t>
      </w:r>
      <w:r w:rsidR="00F30CD5" w:rsidRPr="00F30CD5">
        <w:rPr>
          <w:color w:val="000000" w:themeColor="text1"/>
        </w:rPr>
        <w:t>Overall p</w:t>
      </w:r>
      <w:r w:rsidR="008242E0" w:rsidRPr="00F30CD5">
        <w:rPr>
          <w:color w:val="000000" w:themeColor="text1"/>
        </w:rPr>
        <w:t xml:space="preserve">atients' descriptive data </w:t>
      </w:r>
      <w:r w:rsidR="00F30CD5" w:rsidRPr="00F30CD5">
        <w:rPr>
          <w:color w:val="000000" w:themeColor="text1"/>
        </w:rPr>
        <w:t>and distribution of these</w:t>
      </w:r>
      <w:r w:rsidR="009E30E0">
        <w:rPr>
          <w:color w:val="000000" w:themeColor="text1"/>
        </w:rPr>
        <w:t xml:space="preserve"> data in accordance with obesity</w:t>
      </w:r>
    </w:p>
    <w:tbl>
      <w:tblPr>
        <w:tblpPr w:leftFromText="180" w:rightFromText="180" w:vertAnchor="page" w:horzAnchor="page" w:tblpX="1450" w:tblpY="2165"/>
        <w:tblW w:w="8920" w:type="dxa"/>
        <w:tblLook w:val="04A0" w:firstRow="1" w:lastRow="0" w:firstColumn="1" w:lastColumn="0" w:noHBand="0" w:noVBand="1"/>
      </w:tblPr>
      <w:tblGrid>
        <w:gridCol w:w="2980"/>
        <w:gridCol w:w="1980"/>
        <w:gridCol w:w="1980"/>
        <w:gridCol w:w="1980"/>
      </w:tblGrid>
      <w:tr w:rsidR="00F30CD5" w14:paraId="043264BE" w14:textId="77777777" w:rsidTr="00F30CD5">
        <w:trPr>
          <w:trHeight w:val="38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6C28" w14:textId="77777777" w:rsidR="00F30CD5" w:rsidRDefault="00F30CD5" w:rsidP="000304E2">
            <w:pPr>
              <w:spacing w:line="480" w:lineRule="auto"/>
              <w:jc w:val="center"/>
              <w:rPr>
                <w:rFonts w:ascii="Calibri" w:eastAsia="Times New Roman" w:hAnsi="Calibri"/>
                <w:color w:val="000000"/>
              </w:rPr>
            </w:pPr>
            <w:r xml:space="preserve">
              <w:rPr>
                <w:rFonts w:ascii="Calibri" w:eastAsia="Times New Roman" w:hAnsi="Calibri"/>
                <w:color w:val="000000"/>
              </w:rPr>
              <w:lastRenderedPageBreak/>
              <w:t/>
            </w:r>
            <w:commentRangeEnd xmlns:rel="http://schemas.openxmlformats.org/package/2006/relationships" w:id="2" xml:space="preserve"/>
            <w:r>
              <w:rPr>
                <w:rStyle w:val="CommentReference"/>
              </w:rPr>
              <w:commentReference w:id="2"/>
            </w:r>
            <w:commentRangeEnd xmlns:rel="http://schemas.openxmlformats.org/package/2006/relationships" w:id="1" xml:space="preserve"/>
            <w:r>
              <w:rPr>
                <w:rStyle w:val="CommentReference"/>
              </w:rPr>
              <w:commentReference w:id="1"/>
            </w:r>
            <w:r xml:space="preserve">
              <w:rPr>
                <w:rFonts w:ascii="Calibri" w:eastAsia="Times New Roman" w:hAnsi="Calibri"/>
                <w:color w:val="000000"/>
              </w:rPr>
              <w:lastRenderedPageBreak/>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04300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Overall (n=206)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585F3D0"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 xml:space="preserve">BMI &lt; 30 (n=124)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EE722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BMI ≥ 30 (n=82)</w:t>
            </w:r>
          </w:p>
        </w:tc>
      </w:tr>
      <w:tr w:rsidR="00F30CD5" w14:paraId="691858BC"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4F6D5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Age (years)</w:t>
            </w:r>
          </w:p>
        </w:tc>
        <w:tc>
          <w:tcPr>
            <w:tcW w:w="1980" w:type="dxa"/>
            <w:tcBorders>
              <w:top w:val="nil"/>
              <w:left w:val="nil"/>
              <w:bottom w:val="single" w:sz="4" w:space="0" w:color="auto"/>
              <w:right w:val="single" w:sz="4" w:space="0" w:color="auto"/>
            </w:tcBorders>
            <w:shd w:val="clear" w:color="auto" w:fill="auto"/>
            <w:noWrap/>
            <w:vAlign w:val="center"/>
            <w:hideMark/>
          </w:tcPr>
          <w:p w14:paraId="2E21A1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53.69 ± 12.22</w:t>
            </w:r>
          </w:p>
        </w:tc>
        <w:tc>
          <w:tcPr>
            <w:tcW w:w="1980" w:type="dxa"/>
            <w:tcBorders>
              <w:top w:val="nil"/>
              <w:left w:val="nil"/>
              <w:bottom w:val="single" w:sz="4" w:space="0" w:color="auto"/>
              <w:right w:val="single" w:sz="4" w:space="0" w:color="auto"/>
            </w:tcBorders>
            <w:shd w:val="clear" w:color="auto" w:fill="auto"/>
            <w:noWrap/>
            <w:vAlign w:val="center"/>
            <w:hideMark/>
          </w:tcPr>
          <w:p w14:paraId="5B350D5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56 ± 10.37</w:t>
            </w:r>
          </w:p>
        </w:tc>
        <w:tc>
          <w:tcPr>
            <w:tcW w:w="1980" w:type="dxa"/>
            <w:tcBorders>
              <w:top w:val="nil"/>
              <w:left w:val="nil"/>
              <w:bottom w:val="single" w:sz="4" w:space="0" w:color="auto"/>
              <w:right w:val="single" w:sz="4" w:space="0" w:color="auto"/>
            </w:tcBorders>
            <w:shd w:val="clear" w:color="auto" w:fill="auto"/>
            <w:noWrap/>
            <w:vAlign w:val="center"/>
            <w:hideMark/>
          </w:tcPr>
          <w:p w14:paraId="1D4E8A3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52.16 ± 13.13</w:t>
            </w:r>
          </w:p>
        </w:tc>
      </w:tr>
      <w:tr w:rsidR="00F30CD5" w14:paraId="3EEF9979"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1103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ER status [n(%)]</w:t>
            </w:r>
          </w:p>
        </w:tc>
        <w:tc>
          <w:tcPr>
            <w:tcW w:w="1980" w:type="dxa"/>
            <w:tcBorders>
              <w:top w:val="nil"/>
              <w:left w:val="nil"/>
              <w:bottom w:val="single" w:sz="4" w:space="0" w:color="auto"/>
              <w:right w:val="single" w:sz="4" w:space="0" w:color="auto"/>
            </w:tcBorders>
            <w:shd w:val="clear" w:color="auto" w:fill="auto"/>
            <w:noWrap/>
            <w:vAlign w:val="center"/>
            <w:hideMark/>
          </w:tcPr>
          <w:p w14:paraId="35BE6D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704B9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010C8A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5E05F50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8DF7DC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00E894A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142 (68.93)</w:t>
            </w:r>
          </w:p>
        </w:tc>
        <w:tc>
          <w:tcPr>
            <w:tcW w:w="1980" w:type="dxa"/>
            <w:tcBorders>
              <w:top w:val="nil"/>
              <w:left w:val="nil"/>
              <w:bottom w:val="single" w:sz="4" w:space="0" w:color="auto"/>
              <w:right w:val="single" w:sz="4" w:space="0" w:color="auto"/>
            </w:tcBorders>
            <w:shd w:val="clear" w:color="auto" w:fill="auto"/>
            <w:noWrap/>
            <w:vAlign w:val="center"/>
            <w:hideMark/>
          </w:tcPr>
          <w:p w14:paraId="759AC8D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85 (68.55)</w:t>
            </w:r>
          </w:p>
        </w:tc>
        <w:tc>
          <w:tcPr>
            <w:tcW w:w="1980" w:type="dxa"/>
            <w:tcBorders>
              <w:top w:val="nil"/>
              <w:left w:val="nil"/>
              <w:bottom w:val="single" w:sz="4" w:space="0" w:color="auto"/>
              <w:right w:val="single" w:sz="4" w:space="0" w:color="auto"/>
            </w:tcBorders>
            <w:shd w:val="clear" w:color="auto" w:fill="auto"/>
            <w:noWrap/>
            <w:vAlign w:val="center"/>
            <w:hideMark/>
          </w:tcPr>
          <w:p w14:paraId="4E16DC1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57 (69.51)</w:t>
            </w:r>
          </w:p>
        </w:tc>
      </w:tr>
      <w:tr w:rsidR="00F30CD5" w14:paraId="7874871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971BB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310EF81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64 (31.07)</w:t>
            </w:r>
          </w:p>
        </w:tc>
        <w:tc>
          <w:tcPr>
            <w:tcW w:w="1980" w:type="dxa"/>
            <w:tcBorders>
              <w:top w:val="nil"/>
              <w:left w:val="nil"/>
              <w:bottom w:val="single" w:sz="4" w:space="0" w:color="auto"/>
              <w:right w:val="single" w:sz="4" w:space="0" w:color="auto"/>
            </w:tcBorders>
            <w:shd w:val="clear" w:color="auto" w:fill="auto"/>
            <w:noWrap/>
            <w:vAlign w:val="center"/>
            <w:hideMark/>
          </w:tcPr>
          <w:p w14:paraId="2650AEE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39 (31.45)</w:t>
            </w:r>
          </w:p>
        </w:tc>
        <w:tc>
          <w:tcPr>
            <w:tcW w:w="1980" w:type="dxa"/>
            <w:tcBorders>
              <w:top w:val="nil"/>
              <w:left w:val="nil"/>
              <w:bottom w:val="single" w:sz="4" w:space="0" w:color="auto"/>
              <w:right w:val="single" w:sz="4" w:space="0" w:color="auto"/>
            </w:tcBorders>
            <w:shd w:val="clear" w:color="auto" w:fill="auto"/>
            <w:noWrap/>
            <w:vAlign w:val="center"/>
            <w:hideMark/>
          </w:tcPr>
          <w:p w14:paraId="005282E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(30.49)</w:t>
            </w:r>
          </w:p>
        </w:tc>
      </w:tr>
      <w:tr w:rsidR="00F30CD5" w14:paraId="3908BEF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9709AB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 status [n(%)]</w:t>
            </w:r>
          </w:p>
        </w:tc>
        <w:tc>
          <w:tcPr>
            <w:tcW w:w="1980" w:type="dxa"/>
            <w:tcBorders>
              <w:top w:val="nil"/>
              <w:left w:val="nil"/>
              <w:bottom w:val="single" w:sz="4" w:space="0" w:color="auto"/>
              <w:right w:val="single" w:sz="4" w:space="0" w:color="auto"/>
            </w:tcBorders>
            <w:shd w:val="clear" w:color="auto" w:fill="auto"/>
            <w:noWrap/>
            <w:vAlign w:val="center"/>
            <w:hideMark/>
          </w:tcPr>
          <w:p w14:paraId="5FED0A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3C6C80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F5A0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F56A3C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F934A8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709EB8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123 (59.70)</w:t>
            </w:r>
          </w:p>
        </w:tc>
        <w:tc>
          <w:tcPr>
            <w:tcW w:w="1980" w:type="dxa"/>
            <w:tcBorders>
              <w:top w:val="nil"/>
              <w:left w:val="nil"/>
              <w:bottom w:val="single" w:sz="4" w:space="0" w:color="auto"/>
              <w:right w:val="single" w:sz="4" w:space="0" w:color="auto"/>
            </w:tcBorders>
            <w:shd w:val="clear" w:color="auto" w:fill="auto"/>
            <w:noWrap/>
            <w:vAlign w:val="bottom"/>
            <w:hideMark/>
          </w:tcPr>
          <w:p w14:paraId="14065A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75 (60.49)</w:t>
            </w:r>
          </w:p>
        </w:tc>
        <w:tc>
          <w:tcPr>
            <w:tcW w:w="1980" w:type="dxa"/>
            <w:tcBorders>
              <w:top w:val="nil"/>
              <w:left w:val="nil"/>
              <w:bottom w:val="single" w:sz="4" w:space="0" w:color="auto"/>
              <w:right w:val="single" w:sz="4" w:space="0" w:color="auto"/>
            </w:tcBorders>
            <w:shd w:val="clear" w:color="auto" w:fill="auto"/>
            <w:noWrap/>
            <w:vAlign w:val="center"/>
            <w:hideMark/>
          </w:tcPr>
          <w:p w14:paraId="52C2342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3AD0A889"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9D55E8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4997860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83 (40.30)</w:t>
            </w:r>
          </w:p>
        </w:tc>
        <w:tc>
          <w:tcPr>
            <w:tcW w:w="1980" w:type="dxa"/>
            <w:tcBorders>
              <w:top w:val="nil"/>
              <w:left w:val="nil"/>
              <w:bottom w:val="single" w:sz="4" w:space="0" w:color="auto"/>
              <w:right w:val="single" w:sz="4" w:space="0" w:color="auto"/>
            </w:tcBorders>
            <w:shd w:val="clear" w:color="auto" w:fill="auto"/>
            <w:noWrap/>
            <w:vAlign w:val="center"/>
            <w:hideMark/>
          </w:tcPr>
          <w:p w14:paraId="54FCB9F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 (39.51)</w:t>
            </w:r>
          </w:p>
        </w:tc>
        <w:tc>
          <w:tcPr>
            <w:tcW w:w="1980" w:type="dxa"/>
            <w:tcBorders>
              <w:top w:val="nil"/>
              <w:left w:val="nil"/>
              <w:bottom w:val="single" w:sz="4" w:space="0" w:color="auto"/>
              <w:right w:val="single" w:sz="4" w:space="0" w:color="auto"/>
            </w:tcBorders>
            <w:shd w:val="clear" w:color="auto" w:fill="auto"/>
            <w:noWrap/>
            <w:vAlign w:val="center"/>
            <w:hideMark/>
          </w:tcPr>
          <w:p w14:paraId="7E771E4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34 (41.46)</w:t>
            </w:r>
          </w:p>
        </w:tc>
      </w:tr>
      <w:tr w:rsidR="00F30CD5" w14:paraId="2CDAF311"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1DE729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HER2 status [n(%)]</w:t>
            </w:r>
          </w:p>
        </w:tc>
        <w:tc>
          <w:tcPr>
            <w:tcW w:w="1980" w:type="dxa"/>
            <w:tcBorders>
              <w:top w:val="nil"/>
              <w:left w:val="nil"/>
              <w:bottom w:val="single" w:sz="4" w:space="0" w:color="auto"/>
              <w:right w:val="single" w:sz="4" w:space="0" w:color="auto"/>
            </w:tcBorders>
            <w:shd w:val="clear" w:color="auto" w:fill="auto"/>
            <w:noWrap/>
            <w:vAlign w:val="center"/>
            <w:hideMark/>
          </w:tcPr>
          <w:p w14:paraId="7DDF47D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9D3476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6683C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9C2BBC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AB915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5EF493D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63 (30.59)</w:t>
            </w:r>
          </w:p>
        </w:tc>
        <w:tc>
          <w:tcPr>
            <w:tcW w:w="1980" w:type="dxa"/>
            <w:tcBorders>
              <w:top w:val="nil"/>
              <w:left w:val="nil"/>
              <w:bottom w:val="single" w:sz="4" w:space="0" w:color="auto"/>
              <w:right w:val="single" w:sz="4" w:space="0" w:color="auto"/>
            </w:tcBorders>
            <w:shd w:val="clear" w:color="auto" w:fill="auto"/>
            <w:noWrap/>
            <w:vAlign w:val="center"/>
            <w:hideMark/>
          </w:tcPr>
          <w:p w14:paraId="67D8B75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40 (32.26)</w:t>
            </w:r>
          </w:p>
        </w:tc>
        <w:tc>
          <w:tcPr>
            <w:tcW w:w="1980" w:type="dxa"/>
            <w:tcBorders>
              <w:top w:val="nil"/>
              <w:left w:val="nil"/>
              <w:bottom w:val="single" w:sz="4" w:space="0" w:color="auto"/>
              <w:right w:val="single" w:sz="4" w:space="0" w:color="auto"/>
            </w:tcBorders>
            <w:shd w:val="clear" w:color="auto" w:fill="auto"/>
            <w:noWrap/>
            <w:vAlign w:val="center"/>
            <w:hideMark/>
          </w:tcPr>
          <w:p w14:paraId="7FFF21D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(28.05)</w:t>
            </w:r>
          </w:p>
        </w:tc>
      </w:tr>
      <w:tr w:rsidR="00F30CD5" w14:paraId="35947325"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EABA16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595AF47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143 (69.41)</w:t>
            </w:r>
          </w:p>
        </w:tc>
        <w:tc>
          <w:tcPr>
            <w:tcW w:w="1980" w:type="dxa"/>
            <w:tcBorders>
              <w:top w:val="nil"/>
              <w:left w:val="nil"/>
              <w:bottom w:val="single" w:sz="4" w:space="0" w:color="auto"/>
              <w:right w:val="single" w:sz="4" w:space="0" w:color="auto"/>
            </w:tcBorders>
            <w:shd w:val="clear" w:color="auto" w:fill="auto"/>
            <w:noWrap/>
            <w:vAlign w:val="center"/>
            <w:hideMark/>
          </w:tcPr>
          <w:p w14:paraId="11610D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84 (67.74)</w:t>
            </w:r>
          </w:p>
        </w:tc>
        <w:tc>
          <w:tcPr>
            <w:tcW w:w="1980" w:type="dxa"/>
            <w:tcBorders>
              <w:top w:val="nil"/>
              <w:left w:val="nil"/>
              <w:bottom w:val="single" w:sz="4" w:space="0" w:color="auto"/>
              <w:right w:val="single" w:sz="4" w:space="0" w:color="auto"/>
            </w:tcBorders>
            <w:shd w:val="clear" w:color="auto" w:fill="auto"/>
            <w:noWrap/>
            <w:vAlign w:val="center"/>
            <w:hideMark/>
          </w:tcPr>
          <w:p w14:paraId="5359C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59 (71.95)</w:t>
            </w:r>
          </w:p>
        </w:tc>
      </w:tr>
      <w:tr w:rsidR="00F30CD5" w14:paraId="02EABA04"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121F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A [n(%)]</w:t>
            </w:r>
          </w:p>
        </w:tc>
        <w:tc>
          <w:tcPr>
            <w:tcW w:w="1980" w:type="dxa"/>
            <w:tcBorders>
              <w:top w:val="nil"/>
              <w:left w:val="nil"/>
              <w:bottom w:val="single" w:sz="4" w:space="0" w:color="auto"/>
              <w:right w:val="single" w:sz="4" w:space="0" w:color="auto"/>
            </w:tcBorders>
            <w:shd w:val="clear" w:color="auto" w:fill="auto"/>
            <w:noWrap/>
            <w:vAlign w:val="center"/>
            <w:hideMark/>
          </w:tcPr>
          <w:p w14:paraId="214B2E1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117 (59.80)</w:t>
            </w:r>
          </w:p>
        </w:tc>
        <w:tc>
          <w:tcPr>
            <w:tcW w:w="1980" w:type="dxa"/>
            <w:tcBorders>
              <w:top w:val="nil"/>
              <w:left w:val="nil"/>
              <w:bottom w:val="single" w:sz="4" w:space="0" w:color="auto"/>
              <w:right w:val="single" w:sz="4" w:space="0" w:color="auto"/>
            </w:tcBorders>
            <w:shd w:val="clear" w:color="auto" w:fill="auto"/>
            <w:noWrap/>
            <w:vAlign w:val="center"/>
            <w:hideMark/>
          </w:tcPr>
          <w:p w14:paraId="5C33543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69 (55.65)</w:t>
            </w:r>
          </w:p>
        </w:tc>
        <w:tc>
          <w:tcPr>
            <w:tcW w:w="1980" w:type="dxa"/>
            <w:tcBorders>
              <w:top w:val="nil"/>
              <w:left w:val="nil"/>
              <w:bottom w:val="single" w:sz="4" w:space="0" w:color="auto"/>
              <w:right w:val="single" w:sz="4" w:space="0" w:color="auto"/>
            </w:tcBorders>
            <w:shd w:val="clear" w:color="auto" w:fill="auto"/>
            <w:noWrap/>
            <w:vAlign w:val="center"/>
            <w:hideMark/>
          </w:tcPr>
          <w:p w14:paraId="383276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753F5DE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EEDFC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B [n(%)]</w:t>
            </w:r>
          </w:p>
        </w:tc>
        <w:tc>
          <w:tcPr>
            <w:tcW w:w="1980" w:type="dxa"/>
            <w:tcBorders>
              <w:top w:val="nil"/>
              <w:left w:val="nil"/>
              <w:bottom w:val="single" w:sz="4" w:space="0" w:color="auto"/>
              <w:right w:val="single" w:sz="4" w:space="0" w:color="auto"/>
            </w:tcBorders>
            <w:shd w:val="clear" w:color="auto" w:fill="auto"/>
            <w:noWrap/>
            <w:vAlign w:val="center"/>
            <w:hideMark/>
          </w:tcPr>
          <w:p w14:paraId="440AC0B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(16.02)</w:t>
            </w:r>
          </w:p>
        </w:tc>
        <w:tc>
          <w:tcPr>
            <w:tcW w:w="1980" w:type="dxa"/>
            <w:tcBorders>
              <w:top w:val="nil"/>
              <w:left w:val="nil"/>
              <w:bottom w:val="single" w:sz="4" w:space="0" w:color="auto"/>
              <w:right w:val="single" w:sz="4" w:space="0" w:color="auto"/>
            </w:tcBorders>
            <w:shd w:val="clear" w:color="auto" w:fill="auto"/>
            <w:noWrap/>
            <w:vAlign w:val="center"/>
            <w:hideMark/>
          </w:tcPr>
          <w:p w14:paraId="6B8FEF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(18.55)</w:t>
            </w:r>
          </w:p>
        </w:tc>
        <w:tc>
          <w:tcPr>
            <w:tcW w:w="1980" w:type="dxa"/>
            <w:tcBorders>
              <w:top w:val="nil"/>
              <w:left w:val="nil"/>
              <w:bottom w:val="single" w:sz="4" w:space="0" w:color="auto"/>
              <w:right w:val="single" w:sz="4" w:space="0" w:color="auto"/>
            </w:tcBorders>
            <w:shd w:val="clear" w:color="auto" w:fill="auto"/>
            <w:noWrap/>
            <w:vAlign w:val="center"/>
            <w:hideMark/>
          </w:tcPr>
          <w:p w14:paraId="0BE542C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10 (12.19)</w:t>
            </w:r>
          </w:p>
        </w:tc>
      </w:tr>
      <w:tr w:rsidR="00F30CD5" w14:paraId="19EA6928"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0234B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Triple-negative [n(%)]</w:t>
            </w:r>
          </w:p>
        </w:tc>
        <w:tc>
          <w:tcPr>
            <w:tcW w:w="1980" w:type="dxa"/>
            <w:tcBorders>
              <w:top w:val="nil"/>
              <w:left w:val="nil"/>
              <w:bottom w:val="single" w:sz="4" w:space="0" w:color="auto"/>
              <w:right w:val="single" w:sz="4" w:space="0" w:color="auto"/>
            </w:tcBorders>
            <w:shd w:val="clear" w:color="auto" w:fill="auto"/>
            <w:noWrap/>
            <w:vAlign w:val="center"/>
            <w:hideMark/>
          </w:tcPr>
          <w:p w14:paraId="3EAC591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4E3C6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17 (13.71)</w:t>
            </w:r>
          </w:p>
        </w:tc>
        <w:tc>
          <w:tcPr>
            <w:tcW w:w="1980" w:type="dxa"/>
            <w:tcBorders>
              <w:top w:val="nil"/>
              <w:left w:val="nil"/>
              <w:bottom w:val="single" w:sz="4" w:space="0" w:color="auto"/>
              <w:right w:val="single" w:sz="4" w:space="0" w:color="auto"/>
            </w:tcBorders>
            <w:shd w:val="clear" w:color="auto" w:fill="auto"/>
            <w:noWrap/>
            <w:vAlign w:val="center"/>
            <w:hideMark/>
          </w:tcPr>
          <w:p w14:paraId="614472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 (9.68)</w:t>
            </w:r>
          </w:p>
        </w:tc>
      </w:tr>
      <w:tr w:rsidR="00F30CD5" w14:paraId="2C6B592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D0DB47"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Triple-positive [n(%)]</w:t>
            </w:r>
          </w:p>
        </w:tc>
        <w:tc>
          <w:tcPr>
            <w:tcW w:w="1980" w:type="dxa"/>
            <w:tcBorders>
              <w:top w:val="nil"/>
              <w:left w:val="nil"/>
              <w:bottom w:val="single" w:sz="4" w:space="0" w:color="auto"/>
              <w:right w:val="single" w:sz="4" w:space="0" w:color="auto"/>
            </w:tcBorders>
            <w:shd w:val="clear" w:color="auto" w:fill="auto"/>
            <w:noWrap/>
            <w:vAlign w:val="center"/>
            <w:hideMark/>
          </w:tcPr>
          <w:p w14:paraId="777912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AB56B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18 (14.52)</w:t>
            </w:r>
          </w:p>
        </w:tc>
        <w:tc>
          <w:tcPr>
            <w:tcW w:w="1980" w:type="dxa"/>
            <w:tcBorders>
              <w:top w:val="nil"/>
              <w:left w:val="nil"/>
              <w:bottom w:val="single" w:sz="4" w:space="0" w:color="auto"/>
              <w:right w:val="single" w:sz="4" w:space="0" w:color="auto"/>
            </w:tcBorders>
            <w:shd w:val="clear" w:color="auto" w:fill="auto"/>
            <w:noWrap/>
            <w:vAlign w:val="center"/>
            <w:hideMark/>
          </w:tcPr>
          <w:p w14:paraId="1CDEDA5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(8.87)</w:t>
            </w:r>
          </w:p>
        </w:tc>
      </w:tr>
      <w:tr w:rsidR="00F30CD5" w14:paraId="4ED6CAF7"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D49132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LVI [n(%)]</w:t>
            </w:r>
          </w:p>
        </w:tc>
        <w:tc>
          <w:tcPr>
            <w:tcW w:w="1980" w:type="dxa"/>
            <w:tcBorders>
              <w:top w:val="nil"/>
              <w:left w:val="nil"/>
              <w:bottom w:val="single" w:sz="4" w:space="0" w:color="auto"/>
              <w:right w:val="single" w:sz="4" w:space="0" w:color="auto"/>
            </w:tcBorders>
            <w:shd w:val="clear" w:color="auto" w:fill="auto"/>
            <w:noWrap/>
            <w:vAlign w:val="center"/>
            <w:hideMark/>
          </w:tcPr>
          <w:p w14:paraId="67717A8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76EE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9A345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6E2E48E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354C29"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14B77FF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EB5BE2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46 (44.23)</w:t>
            </w:r>
          </w:p>
        </w:tc>
        <w:tc>
          <w:tcPr>
            <w:tcW w:w="1980" w:type="dxa"/>
            <w:tcBorders>
              <w:top w:val="nil"/>
              <w:left w:val="nil"/>
              <w:bottom w:val="single" w:sz="4" w:space="0" w:color="auto"/>
              <w:right w:val="single" w:sz="4" w:space="0" w:color="auto"/>
            </w:tcBorders>
            <w:shd w:val="clear" w:color="auto" w:fill="auto"/>
            <w:noWrap/>
            <w:vAlign w:val="center"/>
            <w:hideMark/>
          </w:tcPr>
          <w:p w14:paraId="7D4C2B8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43 (58.1)</w:t>
            </w:r>
          </w:p>
        </w:tc>
      </w:tr>
      <w:tr w:rsidR="00F30CD5" w14:paraId="018632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AEEF8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5227D7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D7F373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(55.77)</w:t>
            </w:r>
          </w:p>
        </w:tc>
        <w:tc>
          <w:tcPr>
            <w:tcW w:w="1980" w:type="dxa"/>
            <w:tcBorders>
              <w:top w:val="nil"/>
              <w:left w:val="nil"/>
              <w:bottom w:val="single" w:sz="4" w:space="0" w:color="auto"/>
              <w:right w:val="single" w:sz="4" w:space="0" w:color="auto"/>
            </w:tcBorders>
            <w:shd w:val="clear" w:color="auto" w:fill="auto"/>
            <w:noWrap/>
            <w:vAlign w:val="center"/>
            <w:hideMark/>
          </w:tcPr>
          <w:p w14:paraId="74768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31 (41.9)</w:t>
            </w:r>
          </w:p>
        </w:tc>
      </w:tr>
      <w:tr w:rsidR="00F30CD5" w14:paraId="05CB4B1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450C06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78F0E8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w:t>
            </w:r>
          </w:p>
        </w:tc>
        <w:tc>
          <w:tcPr>
            <w:tcW w:w="1980" w:type="dxa"/>
            <w:tcBorders>
              <w:top w:val="nil"/>
              <w:left w:val="nil"/>
              <w:bottom w:val="single" w:sz="4" w:space="0" w:color="auto"/>
              <w:right w:val="single" w:sz="4" w:space="0" w:color="auto"/>
            </w:tcBorders>
            <w:shd w:val="clear" w:color="auto" w:fill="auto"/>
            <w:noWrap/>
            <w:vAlign w:val="center"/>
            <w:hideMark/>
          </w:tcPr>
          <w:p w14:paraId="4D1C582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w:t>
            </w:r>
          </w:p>
        </w:tc>
        <w:tc>
          <w:tcPr>
            <w:tcW w:w="1980" w:type="dxa"/>
            <w:tcBorders>
              <w:top w:val="nil"/>
              <w:left w:val="nil"/>
              <w:bottom w:val="single" w:sz="4" w:space="0" w:color="auto"/>
              <w:right w:val="single" w:sz="4" w:space="0" w:color="auto"/>
            </w:tcBorders>
            <w:shd w:val="clear" w:color="auto" w:fill="auto"/>
            <w:noWrap/>
            <w:vAlign w:val="center"/>
            <w:hideMark/>
          </w:tcPr>
          <w:p w14:paraId="536FDF0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w:t>
            </w:r>
          </w:p>
        </w:tc>
      </w:tr>
      <w:tr w:rsidR="00F30CD5" w14:paraId="6914BF9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30B578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PNI [n(%)]</w:t>
            </w:r>
          </w:p>
        </w:tc>
        <w:tc>
          <w:tcPr>
            <w:tcW w:w="1980" w:type="dxa"/>
            <w:tcBorders>
              <w:top w:val="nil"/>
              <w:left w:val="nil"/>
              <w:bottom w:val="single" w:sz="4" w:space="0" w:color="auto"/>
              <w:right w:val="single" w:sz="4" w:space="0" w:color="auto"/>
            </w:tcBorders>
            <w:shd w:val="clear" w:color="auto" w:fill="auto"/>
            <w:noWrap/>
            <w:vAlign w:val="bottom"/>
            <w:hideMark/>
          </w:tcPr>
          <w:p w14:paraId="452A21D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615E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62A30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6DF8E9D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062C3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73DA19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(36.95)</w:t>
            </w:r>
          </w:p>
        </w:tc>
        <w:tc>
          <w:tcPr>
            <w:tcW w:w="1980" w:type="dxa"/>
            <w:tcBorders>
              <w:top w:val="nil"/>
              <w:left w:val="nil"/>
              <w:bottom w:val="single" w:sz="4" w:space="0" w:color="auto"/>
              <w:right w:val="single" w:sz="4" w:space="0" w:color="auto"/>
            </w:tcBorders>
            <w:shd w:val="clear" w:color="auto" w:fill="auto"/>
            <w:noWrap/>
            <w:vAlign w:val="center"/>
            <w:hideMark/>
          </w:tcPr>
          <w:p w14:paraId="111920A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(36.27)</w:t>
            </w:r>
          </w:p>
        </w:tc>
        <w:tc>
          <w:tcPr>
            <w:tcW w:w="1980" w:type="dxa"/>
            <w:tcBorders>
              <w:top w:val="nil"/>
              <w:left w:val="nil"/>
              <w:bottom w:val="single" w:sz="4" w:space="0" w:color="auto"/>
              <w:right w:val="single" w:sz="4" w:space="0" w:color="auto"/>
            </w:tcBorders>
            <w:shd w:val="clear" w:color="auto" w:fill="auto"/>
            <w:noWrap/>
            <w:vAlign w:val="center"/>
            <w:hideMark/>
          </w:tcPr>
          <w:p w14:paraId="0C066FB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(37.88)</w:t>
            </w:r>
          </w:p>
        </w:tc>
      </w:tr>
      <w:tr w:rsidR="00F30CD5" w14:paraId="4F452EC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30C571"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471320C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99 (63.05)</w:t>
            </w:r>
          </w:p>
        </w:tc>
        <w:tc>
          <w:tcPr>
            <w:tcW w:w="1980" w:type="dxa"/>
            <w:tcBorders>
              <w:top w:val="nil"/>
              <w:left w:val="nil"/>
              <w:bottom w:val="single" w:sz="4" w:space="0" w:color="auto"/>
              <w:right w:val="single" w:sz="4" w:space="0" w:color="auto"/>
            </w:tcBorders>
            <w:shd w:val="clear" w:color="auto" w:fill="auto"/>
            <w:noWrap/>
            <w:vAlign w:val="center"/>
            <w:hideMark/>
          </w:tcPr>
          <w:p w14:paraId="43DDF40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(63.73)</w:t>
            </w:r>
          </w:p>
        </w:tc>
        <w:tc>
          <w:tcPr>
            <w:tcW w:w="1980" w:type="dxa"/>
            <w:tcBorders>
              <w:top w:val="nil"/>
              <w:left w:val="nil"/>
              <w:bottom w:val="single" w:sz="4" w:space="0" w:color="auto"/>
              <w:right w:val="single" w:sz="4" w:space="0" w:color="auto"/>
            </w:tcBorders>
            <w:shd w:val="clear" w:color="auto" w:fill="auto"/>
            <w:noWrap/>
            <w:vAlign w:val="center"/>
            <w:hideMark/>
          </w:tcPr>
          <w:p w14:paraId="34E84FA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41 (62.12)</w:t>
            </w:r>
          </w:p>
        </w:tc>
      </w:tr>
      <w:tr w:rsidR="00F30CD5" w14:paraId="5C35828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C1FA7F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lastRenderedPageBreak/>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557A65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w:t>
            </w:r>
          </w:p>
        </w:tc>
        <w:tc>
          <w:tcPr>
            <w:tcW w:w="1980" w:type="dxa"/>
            <w:tcBorders>
              <w:top w:val="nil"/>
              <w:left w:val="nil"/>
              <w:bottom w:val="single" w:sz="4" w:space="0" w:color="auto"/>
              <w:right w:val="single" w:sz="4" w:space="0" w:color="auto"/>
            </w:tcBorders>
            <w:shd w:val="clear" w:color="auto" w:fill="auto"/>
            <w:noWrap/>
            <w:vAlign w:val="center"/>
            <w:hideMark/>
          </w:tcPr>
          <w:p w14:paraId="5390D14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w:t>
            </w:r>
          </w:p>
        </w:tc>
        <w:tc>
          <w:tcPr>
            <w:tcW w:w="1980" w:type="dxa"/>
            <w:tcBorders>
              <w:top w:val="nil"/>
              <w:left w:val="nil"/>
              <w:bottom w:val="single" w:sz="4" w:space="0" w:color="auto"/>
              <w:right w:val="single" w:sz="4" w:space="0" w:color="auto"/>
            </w:tcBorders>
            <w:shd w:val="clear" w:color="auto" w:fill="auto"/>
            <w:noWrap/>
            <w:vAlign w:val="center"/>
            <w:hideMark/>
          </w:tcPr>
          <w:p w14:paraId="75B92E6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w:t>
            </w:r>
          </w:p>
        </w:tc>
      </w:tr>
      <w:tr w:rsidR="00F30CD5" w14:paraId="4FD244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DC502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Menopausal status [n(%)]</w:t>
            </w:r>
          </w:p>
        </w:tc>
        <w:tc>
          <w:tcPr>
            <w:tcW w:w="1980" w:type="dxa"/>
            <w:tcBorders>
              <w:top w:val="nil"/>
              <w:left w:val="nil"/>
              <w:bottom w:val="single" w:sz="4" w:space="0" w:color="auto"/>
              <w:right w:val="single" w:sz="4" w:space="0" w:color="auto"/>
            </w:tcBorders>
            <w:shd w:val="clear" w:color="auto" w:fill="auto"/>
            <w:noWrap/>
            <w:vAlign w:val="bottom"/>
            <w:hideMark/>
          </w:tcPr>
          <w:p w14:paraId="1DFABD7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743FA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DD249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000658A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9F5A5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Pre-menopausal</w:t>
            </w:r>
          </w:p>
        </w:tc>
        <w:tc>
          <w:tcPr>
            <w:tcW w:w="1980" w:type="dxa"/>
            <w:tcBorders>
              <w:top w:val="nil"/>
              <w:left w:val="nil"/>
              <w:bottom w:val="single" w:sz="4" w:space="0" w:color="auto"/>
              <w:right w:val="single" w:sz="4" w:space="0" w:color="auto"/>
            </w:tcBorders>
            <w:shd w:val="clear" w:color="auto" w:fill="auto"/>
            <w:noWrap/>
            <w:vAlign w:val="center"/>
            <w:hideMark/>
          </w:tcPr>
          <w:p w14:paraId="0C594F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80 (38.83)</w:t>
            </w:r>
          </w:p>
        </w:tc>
        <w:tc>
          <w:tcPr>
            <w:tcW w:w="1980" w:type="dxa"/>
            <w:tcBorders>
              <w:top w:val="nil"/>
              <w:left w:val="nil"/>
              <w:bottom w:val="single" w:sz="4" w:space="0" w:color="auto"/>
              <w:right w:val="single" w:sz="4" w:space="0" w:color="auto"/>
            </w:tcBorders>
            <w:shd w:val="clear" w:color="auto" w:fill="auto"/>
            <w:noWrap/>
            <w:vAlign w:val="center"/>
            <w:hideMark/>
          </w:tcPr>
          <w:p w14:paraId="593EC16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578E0FF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(34.15)</w:t>
            </w:r>
          </w:p>
        </w:tc>
      </w:tr>
      <w:tr w:rsidR="00F30CD5" w14:paraId="485A1D5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E830EA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Post-menopausal</w:t>
            </w:r>
          </w:p>
        </w:tc>
        <w:tc>
          <w:tcPr>
            <w:tcW w:w="1980" w:type="dxa"/>
            <w:tcBorders>
              <w:top w:val="nil"/>
              <w:left w:val="nil"/>
              <w:bottom w:val="single" w:sz="4" w:space="0" w:color="auto"/>
              <w:right w:val="single" w:sz="4" w:space="0" w:color="auto"/>
            </w:tcBorders>
            <w:shd w:val="clear" w:color="auto" w:fill="auto"/>
            <w:noWrap/>
            <w:vAlign w:val="center"/>
            <w:hideMark/>
          </w:tcPr>
          <w:p w14:paraId="54D5E14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126 (61.17)</w:t>
            </w:r>
          </w:p>
        </w:tc>
        <w:tc>
          <w:tcPr>
            <w:tcW w:w="1980" w:type="dxa"/>
            <w:tcBorders>
              <w:top w:val="nil"/>
              <w:left w:val="nil"/>
              <w:bottom w:val="single" w:sz="4" w:space="0" w:color="auto"/>
              <w:right w:val="single" w:sz="4" w:space="0" w:color="auto"/>
            </w:tcBorders>
            <w:shd w:val="clear" w:color="auto" w:fill="auto"/>
            <w:noWrap/>
            <w:vAlign w:val="center"/>
            <w:hideMark/>
          </w:tcPr>
          <w:p w14:paraId="2C313D2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7803E44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54 (65.85)</w:t>
            </w:r>
          </w:p>
        </w:tc>
      </w:tr>
      <w:tr w:rsidR="00F30CD5" w14:paraId="117DCD5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25460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Presence of metastasis [n(%)]</w:t>
            </w:r>
          </w:p>
        </w:tc>
        <w:tc>
          <w:tcPr>
            <w:tcW w:w="1980" w:type="dxa"/>
            <w:tcBorders>
              <w:top w:val="nil"/>
              <w:left w:val="nil"/>
              <w:bottom w:val="single" w:sz="4" w:space="0" w:color="auto"/>
              <w:right w:val="single" w:sz="4" w:space="0" w:color="auto"/>
            </w:tcBorders>
            <w:shd w:val="clear" w:color="auto" w:fill="auto"/>
            <w:noWrap/>
            <w:vAlign w:val="center"/>
            <w:hideMark/>
          </w:tcPr>
          <w:p w14:paraId="64FCAB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center"/>
            <w:hideMark/>
          </w:tcPr>
          <w:p w14:paraId="4C4D0E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434036A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3A087CE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23B0AD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Stage [n(%)]</w:t>
            </w:r>
          </w:p>
        </w:tc>
        <w:tc>
          <w:tcPr>
            <w:tcW w:w="1980" w:type="dxa"/>
            <w:tcBorders>
              <w:top w:val="nil"/>
              <w:left w:val="nil"/>
              <w:bottom w:val="single" w:sz="4" w:space="0" w:color="auto"/>
              <w:right w:val="single" w:sz="4" w:space="0" w:color="auto"/>
            </w:tcBorders>
            <w:shd w:val="clear" w:color="auto" w:fill="auto"/>
            <w:noWrap/>
            <w:vAlign w:val="bottom"/>
            <w:hideMark/>
          </w:tcPr>
          <w:p w14:paraId="4E1BFFE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35D9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E3ED03"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4A63569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2ADA56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1 (incl. 1a &amp; 1b)</w:t>
            </w:r>
          </w:p>
        </w:tc>
        <w:tc>
          <w:tcPr>
            <w:tcW w:w="1980" w:type="dxa"/>
            <w:tcBorders>
              <w:top w:val="nil"/>
              <w:left w:val="nil"/>
              <w:bottom w:val="single" w:sz="4" w:space="0" w:color="auto"/>
              <w:right w:val="single" w:sz="4" w:space="0" w:color="auto"/>
            </w:tcBorders>
            <w:shd w:val="clear" w:color="auto" w:fill="auto"/>
            <w:noWrap/>
            <w:vAlign w:val="bottom"/>
            <w:hideMark/>
          </w:tcPr>
          <w:p w14:paraId="0AB0472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(13.59)</w:t>
            </w:r>
          </w:p>
        </w:tc>
        <w:tc>
          <w:tcPr>
            <w:tcW w:w="1980" w:type="dxa"/>
            <w:tcBorders>
              <w:top w:val="nil"/>
              <w:left w:val="nil"/>
              <w:bottom w:val="single" w:sz="4" w:space="0" w:color="auto"/>
              <w:right w:val="single" w:sz="4" w:space="0" w:color="auto"/>
            </w:tcBorders>
            <w:shd w:val="clear" w:color="auto" w:fill="auto"/>
            <w:noWrap/>
            <w:vAlign w:val="bottom"/>
            <w:hideMark/>
          </w:tcPr>
          <w:p w14:paraId="27A7578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22 (17.74)</w:t>
            </w:r>
          </w:p>
        </w:tc>
        <w:tc>
          <w:tcPr>
            <w:tcW w:w="1980" w:type="dxa"/>
            <w:tcBorders>
              <w:top w:val="nil"/>
              <w:left w:val="nil"/>
              <w:bottom w:val="single" w:sz="4" w:space="0" w:color="auto"/>
              <w:right w:val="single" w:sz="4" w:space="0" w:color="auto"/>
            </w:tcBorders>
            <w:shd w:val="clear" w:color="auto" w:fill="auto"/>
            <w:noWrap/>
            <w:vAlign w:val="center"/>
            <w:hideMark/>
          </w:tcPr>
          <w:p w14:paraId="59D48E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 (9.76)</w:t>
            </w:r>
          </w:p>
        </w:tc>
      </w:tr>
      <w:tr w:rsidR="00F30CD5" w14:paraId="4CB9C0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FECBE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2 (incl. 2a &amp; 2b)</w:t>
            </w:r>
          </w:p>
        </w:tc>
        <w:tc>
          <w:tcPr>
            <w:tcW w:w="1980" w:type="dxa"/>
            <w:tcBorders>
              <w:top w:val="nil"/>
              <w:left w:val="nil"/>
              <w:bottom w:val="single" w:sz="4" w:space="0" w:color="auto"/>
              <w:right w:val="single" w:sz="4" w:space="0" w:color="auto"/>
            </w:tcBorders>
            <w:shd w:val="clear" w:color="auto" w:fill="auto"/>
            <w:noWrap/>
            <w:vAlign w:val="bottom"/>
            <w:hideMark/>
          </w:tcPr>
          <w:p w14:paraId="4CE15B5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90 (43.69)</w:t>
            </w:r>
          </w:p>
        </w:tc>
        <w:tc>
          <w:tcPr>
            <w:tcW w:w="1980" w:type="dxa"/>
            <w:tcBorders>
              <w:top w:val="nil"/>
              <w:left w:val="nil"/>
              <w:bottom w:val="single" w:sz="4" w:space="0" w:color="auto"/>
              <w:right w:val="single" w:sz="4" w:space="0" w:color="auto"/>
            </w:tcBorders>
            <w:shd w:val="clear" w:color="auto" w:fill="auto"/>
            <w:noWrap/>
            <w:vAlign w:val="bottom"/>
            <w:hideMark/>
          </w:tcPr>
          <w:p w14:paraId="7C79430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47 (37.90)</w:t>
            </w:r>
          </w:p>
        </w:tc>
        <w:tc>
          <w:tcPr>
            <w:tcW w:w="1980" w:type="dxa"/>
            <w:tcBorders>
              <w:top w:val="nil"/>
              <w:left w:val="nil"/>
              <w:bottom w:val="single" w:sz="4" w:space="0" w:color="auto"/>
              <w:right w:val="single" w:sz="4" w:space="0" w:color="auto"/>
            </w:tcBorders>
            <w:shd w:val="clear" w:color="auto" w:fill="auto"/>
            <w:noWrap/>
            <w:vAlign w:val="center"/>
            <w:hideMark/>
          </w:tcPr>
          <w:p w14:paraId="530D9F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37 (45.12)</w:t>
            </w:r>
          </w:p>
        </w:tc>
      </w:tr>
      <w:tr w:rsidR="00F30CD5" w14:paraId="0ED034A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D177D0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3 (incl. 3a, 3b &amp; 3c)</w:t>
            </w:r>
          </w:p>
        </w:tc>
        <w:tc>
          <w:tcPr>
            <w:tcW w:w="1980" w:type="dxa"/>
            <w:tcBorders>
              <w:top w:val="nil"/>
              <w:left w:val="nil"/>
              <w:bottom w:val="single" w:sz="4" w:space="0" w:color="auto"/>
              <w:right w:val="single" w:sz="4" w:space="0" w:color="auto"/>
            </w:tcBorders>
            <w:shd w:val="clear" w:color="auto" w:fill="auto"/>
            <w:noWrap/>
            <w:vAlign w:val="bottom"/>
            <w:hideMark/>
          </w:tcPr>
          <w:p w14:paraId="592412D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(28.16)</w:t>
            </w:r>
          </w:p>
        </w:tc>
        <w:tc>
          <w:tcPr>
            <w:tcW w:w="1980" w:type="dxa"/>
            <w:tcBorders>
              <w:top w:val="nil"/>
              <w:left w:val="nil"/>
              <w:bottom w:val="single" w:sz="4" w:space="0" w:color="auto"/>
              <w:right w:val="single" w:sz="4" w:space="0" w:color="auto"/>
            </w:tcBorders>
            <w:shd w:val="clear" w:color="auto" w:fill="auto"/>
            <w:noWrap/>
            <w:vAlign w:val="bottom"/>
            <w:hideMark/>
          </w:tcPr>
          <w:p w14:paraId="57F39C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35 (28.23)</w:t>
            </w:r>
          </w:p>
        </w:tc>
        <w:tc>
          <w:tcPr>
            <w:tcW w:w="1980" w:type="dxa"/>
            <w:tcBorders>
              <w:top w:val="nil"/>
              <w:left w:val="nil"/>
              <w:bottom w:val="single" w:sz="4" w:space="0" w:color="auto"/>
              <w:right w:val="single" w:sz="4" w:space="0" w:color="auto"/>
            </w:tcBorders>
            <w:shd w:val="clear" w:color="auto" w:fill="auto"/>
            <w:noWrap/>
            <w:vAlign w:val="center"/>
            <w:hideMark/>
          </w:tcPr>
          <w:p w14:paraId="37D203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26 (31.71)</w:t>
            </w:r>
          </w:p>
        </w:tc>
      </w:tr>
      <w:tr w:rsidR="00F30CD5" w14:paraId="32B814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481C98E"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4</w:t>
            </w:r>
          </w:p>
        </w:tc>
        <w:tc>
          <w:tcPr>
            <w:tcW w:w="1980" w:type="dxa"/>
            <w:tcBorders>
              <w:top w:val="nil"/>
              <w:left w:val="nil"/>
              <w:bottom w:val="single" w:sz="4" w:space="0" w:color="auto"/>
              <w:right w:val="single" w:sz="4" w:space="0" w:color="auto"/>
            </w:tcBorders>
            <w:shd w:val="clear" w:color="auto" w:fill="auto"/>
            <w:noWrap/>
            <w:vAlign w:val="bottom"/>
            <w:hideMark/>
          </w:tcPr>
          <w:p w14:paraId="621E3E5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bottom"/>
            <w:hideMark/>
          </w:tcPr>
          <w:p w14:paraId="3D49EC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57F0249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7E14408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AF3E7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5-year mortality rate (%)</w:t>
            </w:r>
          </w:p>
        </w:tc>
        <w:tc>
          <w:tcPr>
            <w:tcW w:w="1980" w:type="dxa"/>
            <w:tcBorders>
              <w:top w:val="nil"/>
              <w:left w:val="nil"/>
              <w:bottom w:val="single" w:sz="4" w:space="0" w:color="auto"/>
              <w:right w:val="single" w:sz="4" w:space="0" w:color="auto"/>
            </w:tcBorders>
            <w:shd w:val="clear" w:color="auto" w:fill="auto"/>
            <w:noWrap/>
            <w:vAlign w:val="center"/>
            <w:hideMark/>
          </w:tcPr>
          <w:p w14:paraId="5A00F31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15.53</w:t>
            </w:r>
          </w:p>
        </w:tc>
        <w:tc>
          <w:tcPr>
            <w:tcW w:w="1980" w:type="dxa"/>
            <w:tcBorders>
              <w:top w:val="nil"/>
              <w:left w:val="nil"/>
              <w:bottom w:val="single" w:sz="4" w:space="0" w:color="auto"/>
              <w:right w:val="single" w:sz="4" w:space="0" w:color="auto"/>
            </w:tcBorders>
            <w:shd w:val="clear" w:color="auto" w:fill="auto"/>
            <w:noWrap/>
            <w:vAlign w:val="center"/>
            <w:hideMark/>
          </w:tcPr>
          <w:p w14:paraId="7179CA2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16.13</w:t>
            </w:r>
          </w:p>
        </w:tc>
        <w:tc>
          <w:tcPr>
            <w:tcW w:w="1980" w:type="dxa"/>
            <w:tcBorders>
              <w:top w:val="nil"/>
              <w:left w:val="nil"/>
              <w:bottom w:val="single" w:sz="4" w:space="0" w:color="auto"/>
              <w:right w:val="single" w:sz="4" w:space="0" w:color="auto"/>
            </w:tcBorders>
            <w:shd w:val="clear" w:color="auto" w:fill="auto"/>
            <w:noWrap/>
            <w:vAlign w:val="center"/>
            <w:hideMark/>
          </w:tcPr>
          <w:p w14:paraId="684D71D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14.63</w:t>
            </w:r>
          </w:p>
        </w:tc>
      </w:tr>
    </w:tbl>
    <w:p w14:paraId="7E413A15" w14:textId="77777777" w:rsidR="00F30CD5" w:rsidRDefault="00F30CD5" w:rsidP="000304E2">
      <w:pPr>
        <w:autoSpaceDE w:val="0"/>
        <w:autoSpaceDN w:val="0"/>
        <w:adjustRightInd w:val="0"/>
        <w:spacing w:line="480" w:lineRule="auto"/>
        <w:jc w:val="both"/>
        <w:rPr>
          <w:color w:val="FF0000"/>
        </w:rPr>
      </w:pPr>
    </w:p>
    <w:p w14:paraId="791E7C78" w14:textId="7EC3DBC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t xml:space="preserve">BMI: Body-mass index, n: number of patients, ER: Estrogen receptor, PR: </w:t>
      </w:r>
      <w:r w:rsidR="00401FB3" w:rsidRPr="00F30CD5">
        <w:rPr>
          <w:color w:val="000000" w:themeColor="text1"/>
        </w:rPr>
        <w:t>Progesterone</w:t>
      </w:r>
      <w:r w:rsidRPr="00F30CD5">
        <w:rPr>
          <w:color w:val="000000" w:themeColor="text1"/>
        </w:rPr>
        <w:t xml:space="preserve"> receptor, HER2: Human epidermal growth factor receptor 2, LVI: Lymphovascular invasion, PNI: perine</w:t>
      </w:r>
      <w:r w:rsidR="00F30CD5">
        <w:rPr>
          <w:color w:val="000000" w:themeColor="text1"/>
        </w:rPr>
        <w:t>ural invasion, incl.: Including</w:t>
      </w:r>
      <w:commentRangeStart xmlns:rel="http://schemas.openxmlformats.org/package/2006/relationships" w:id="0" xml:space="preserve"/>
      <w:r w:rsidRPr="00F30CD5">
        <w:rPr>
          <w:color w:val="000000" w:themeColor="text1"/>
        </w:rPr>
        <w:t xml:space="preserve"> </w:t>
      </w:r>
    </w:p>
    <w:p w14:paraId="51BE96A9" w14:textId="77777777" w:rsidR="00F30CD5" w:rsidRDefault="00F30CD5" w:rsidP="000304E2">
      <w:pPr>
        <w:autoSpaceDE w:val="0"/>
        <w:autoSpaceDN w:val="0"/>
        <w:adjustRightInd w:val="0"/>
        <w:spacing w:line="480" w:lineRule="auto"/>
        <w:ind w:firstLine="720"/>
        <w:jc w:val="both"/>
        <w:rPr>
          <w:color w:val="FF0000"/>
        </w:rPr>
        <w:sectPr w:rsidR="00F30CD5" w:rsidSect="00F30CD5">
          <w:pgSz w:w="11900" w:h="16840"/>
          <w:pgMar w:top="1417" w:right="1417" w:bottom="1417" w:left="1417" w:header="708" w:footer="708" w:gutter="0"/>
          <w:cols w:space="708"/>
          <w:docGrid w:linePitch="360"/>
        </w:sectPr>
      </w:pPr>
    </w:p>
    <w:p w14:paraId="5D855D95" w14:textId="0BC2794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lastRenderedPageBreak/>
        <w:t xml:space="preserve">Table 2: </w:t>
      </w:r>
      <w:r w:rsidR="00F30CD5" w:rsidRPr="00F30CD5">
        <w:rPr>
          <w:color w:val="000000" w:themeColor="text1"/>
        </w:rPr>
        <w:t>Comparison</w:t>
      </w:r>
      <w:r w:rsidR="00F30CD5">
        <w:rPr>
          <w:color w:val="000000" w:themeColor="text1"/>
        </w:rPr>
        <w:t>s</w:t>
      </w:r>
      <w:r w:rsidR="00F30CD5" w:rsidRPr="00F30CD5">
        <w:rPr>
          <w:color w:val="000000" w:themeColor="text1"/>
        </w:rPr>
        <w:t xml:space="preserve"> of IHC markers between pre- and post-menopausal groups and between obese and non-obese patients within each group</w:t>
      </w:r>
    </w:p>
    <w:tbl>
      <w:tblPr>
        <w:tblW w:w="5000" w:type="pct"/>
        <w:tblLook w:val="04A0" w:firstRow="1" w:lastRow="0" w:firstColumn="1" w:lastColumn="0" w:noHBand="0" w:noVBand="1"/>
      </w:tblPr>
      <w:tblGrid>
        <w:gridCol w:w="2653"/>
        <w:gridCol w:w="1006"/>
        <w:gridCol w:w="1076"/>
        <w:gridCol w:w="1006"/>
        <w:gridCol w:w="1076"/>
        <w:gridCol w:w="985"/>
        <w:gridCol w:w="1006"/>
        <w:gridCol w:w="1077"/>
        <w:gridCol w:w="1006"/>
        <w:gridCol w:w="1078"/>
        <w:gridCol w:w="986"/>
        <w:gridCol w:w="1031"/>
      </w:tblGrid>
      <w:tr w:rsidR="00FC6A43" w14:paraId="5AE79A50" w14:textId="77777777" w:rsidTr="00CA1B8B">
        <w:trPr>
          <w:trHeight w:val="400"/>
        </w:trPr>
        <w:tc>
          <w:tcPr>
            <w:tcW w:w="7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B922EF" w14:textId="77777777" w:rsidR="00FC6A43" w:rsidRPr="00CA1B8B" w:rsidRDefault="00FC6A43" w:rsidP="000304E2">
            <w:pPr>
              <w:spacing w:line="480" w:lineRule="auto"/>
              <w:jc w:val="center"/>
              <w:rPr>
                <w:rFonts w:ascii="Calibri" w:eastAsia="Times New Roman" w:hAnsi="Calibri"/>
                <w:color w:val="000000"/>
              </w:rPr>
            </w:pPr>
            <w:r w:rsidRPr="00CA1B8B" xml:space="preserve">
              <w:rPr>
                <w:rFonts w:ascii="Calibri" w:eastAsia="Times New Roman" w:hAnsi="Calibri"/>
                <w:color w:val="000000"/>
              </w:rPr>
              <w:t/>
            </w:r>
            <w:commentRangeEnd xmlns:rel="http://schemas.openxmlformats.org/package/2006/relationships" w:id="0" xml:space="preserve"/>
            <w:r>
              <w:rPr>
                <w:rStyle w:val="CommentReference"/>
              </w:rPr>
              <w:commentReference w:id="0"/>
            </w:r>
            <w:r w:rsidRPr="00CA1B8B" xml:space="preserve">
              <w:rPr>
                <w:rFonts w:ascii="Calibri" w:eastAsia="Times New Roman" w:hAnsi="Calibri"/>
                <w:color w:val="000000"/>
              </w:rPr>
              <w:t xml:space="preserve"> </w:t>
            </w:r>
          </w:p>
        </w:tc>
        <w:tc>
          <w:tcPr>
            <w:tcW w:w="1930"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37DE6C5"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Pre-menopausal (n=80)</w:t>
            </w:r>
          </w:p>
        </w:tc>
        <w:tc>
          <w:tcPr>
            <w:tcW w:w="1930" w:type="pct"/>
            <w:gridSpan w:val="5"/>
            <w:tcBorders>
              <w:top w:val="single" w:sz="8" w:space="0" w:color="auto"/>
              <w:left w:val="nil"/>
              <w:bottom w:val="single" w:sz="8" w:space="0" w:color="auto"/>
              <w:right w:val="nil"/>
            </w:tcBorders>
            <w:shd w:val="clear" w:color="auto" w:fill="auto"/>
            <w:noWrap/>
            <w:vAlign w:val="center"/>
            <w:hideMark/>
          </w:tcPr>
          <w:p w14:paraId="600AD30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Post-menopausal (n=126)</w:t>
            </w:r>
          </w:p>
        </w:tc>
        <w:tc>
          <w:tcPr>
            <w:tcW w:w="386"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4EC4FB" w14:textId="30AE83E6" w:rsidR="00FC6A43" w:rsidRPr="00CA1B8B" w:rsidRDefault="00AB4295"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r>
              <w:rPr>
                <w:rFonts w:ascii="Calibri" w:eastAsia="Times New Roman" w:hAnsi="Calibri"/>
                <w:b/>
                <w:bCs/>
                <w:color w:val="000000"/>
                <w:szCs w:val="28"/>
              </w:rPr>
              <w:t>*</w:t>
            </w:r>
          </w:p>
        </w:tc>
      </w:tr>
      <w:tr w:rsidR="00FC6A43" w14:paraId="2F593C1B"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217D3B2" w14:textId="77777777" w:rsidR="00FC6A43" w:rsidRPr="00CA1B8B" w:rsidRDefault="00FC6A43" w:rsidP="000304E2">
            <w:pPr>
              <w:spacing w:line="480" w:lineRule="auto"/>
              <w:rPr>
                <w:rFonts w:ascii="Calibri" w:eastAsia="Times New Roman" w:hAnsi="Calibri"/>
                <w:color w:val="000000"/>
              </w:rPr>
            </w:pP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72104F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8C8658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(n=28)</w:t>
            </w:r>
          </w:p>
        </w:tc>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3AEAD45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DDFE1CB"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61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(n=54)</w:t>
            </w:r>
          </w:p>
        </w:tc>
        <w:tc>
          <w:tcPr>
            <w:tcW w:w="369" w:type="pct"/>
            <w:vMerge w:val="restart"/>
            <w:tcBorders>
              <w:top w:val="nil"/>
              <w:left w:val="single" w:sz="8" w:space="0" w:color="auto"/>
              <w:bottom w:val="single" w:sz="8" w:space="0" w:color="000000"/>
              <w:right w:val="nil"/>
            </w:tcBorders>
            <w:shd w:val="clear" w:color="auto" w:fill="auto"/>
            <w:vAlign w:val="center"/>
            <w:hideMark/>
          </w:tcPr>
          <w:p w14:paraId="45DB053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7E62CCD6" w14:textId="77777777" w:rsidR="00FC6A43" w:rsidRPr="00CA1B8B" w:rsidRDefault="00FC6A43" w:rsidP="000304E2">
            <w:pPr>
              <w:spacing w:line="480" w:lineRule="auto"/>
              <w:rPr>
                <w:rFonts w:ascii="Calibri" w:eastAsia="Times New Roman" w:hAnsi="Calibri"/>
                <w:b/>
                <w:bCs/>
                <w:color w:val="000000"/>
                <w:szCs w:val="28"/>
              </w:rPr>
            </w:pPr>
          </w:p>
        </w:tc>
      </w:tr>
      <w:tr w:rsidR="00CA1B8B" w14:paraId="4E49ED99"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D63B626" w14:textId="77777777" w:rsidR="00FC6A43" w:rsidRPr="00CA1B8B" w:rsidRDefault="00FC6A43" w:rsidP="000304E2">
            <w:pPr>
              <w:spacing w:line="480" w:lineRule="auto"/>
              <w:rPr>
                <w:rFonts w:ascii="Calibri" w:eastAsia="Times New Roman" w:hAnsi="Calibri"/>
                <w:color w:val="000000"/>
              </w:rPr>
            </w:pPr>
          </w:p>
        </w:tc>
        <w:tc>
          <w:tcPr>
            <w:tcW w:w="374" w:type="pct"/>
            <w:tcBorders>
              <w:top w:val="nil"/>
              <w:left w:val="nil"/>
              <w:bottom w:val="single" w:sz="8" w:space="0" w:color="auto"/>
              <w:right w:val="single" w:sz="8" w:space="0" w:color="auto"/>
            </w:tcBorders>
            <w:shd w:val="clear" w:color="auto" w:fill="auto"/>
            <w:noWrap/>
            <w:vAlign w:val="center"/>
            <w:hideMark/>
          </w:tcPr>
          <w:p w14:paraId="454F773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149D67A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759E300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50A49B5C"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single" w:sz="8" w:space="0" w:color="auto"/>
            </w:tcBorders>
            <w:vAlign w:val="center"/>
            <w:hideMark/>
          </w:tcPr>
          <w:p w14:paraId="55E90225" w14:textId="77777777" w:rsidR="00FC6A43" w:rsidRPr="00CA1B8B" w:rsidRDefault="00FC6A43" w:rsidP="000304E2">
            <w:pPr>
              <w:spacing w:line="480" w:lineRule="auto"/>
              <w:rPr>
                <w:rFonts w:ascii="Calibri" w:eastAsia="Times New Roman" w:hAnsi="Calibri"/>
                <w:b/>
                <w:bCs/>
                <w:color w:val="000000"/>
                <w:szCs w:val="28"/>
              </w:rPr>
            </w:pPr>
          </w:p>
        </w:tc>
        <w:tc>
          <w:tcPr>
            <w:tcW w:w="374" w:type="pct"/>
            <w:tcBorders>
              <w:top w:val="nil"/>
              <w:left w:val="nil"/>
              <w:bottom w:val="single" w:sz="8" w:space="0" w:color="auto"/>
              <w:right w:val="single" w:sz="8" w:space="0" w:color="auto"/>
            </w:tcBorders>
            <w:shd w:val="clear" w:color="auto" w:fill="auto"/>
            <w:noWrap/>
            <w:vAlign w:val="center"/>
            <w:hideMark/>
          </w:tcPr>
          <w:p w14:paraId="67042A9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5E2EB4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0D69B9E6"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C0D66A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nil"/>
            </w:tcBorders>
            <w:vAlign w:val="center"/>
            <w:hideMark/>
          </w:tcPr>
          <w:p w14:paraId="1926D933" w14:textId="77777777" w:rsidR="00FC6A43" w:rsidRPr="00CA1B8B" w:rsidRDefault="00FC6A43" w:rsidP="000304E2">
            <w:pPr>
              <w:spacing w:line="480" w:lineRule="auto"/>
              <w:rPr>
                <w:rFonts w:ascii="Calibri" w:eastAsia="Times New Roman" w:hAnsi="Calibri"/>
                <w:b/>
                <w:bCs/>
                <w:color w:val="000000"/>
                <w:szCs w:val="28"/>
              </w:rPr>
            </w:pP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0267418A" w14:textId="77777777" w:rsidR="00FC6A43" w:rsidRPr="00CA1B8B" w:rsidRDefault="00FC6A43" w:rsidP="000304E2">
            <w:pPr>
              <w:spacing w:line="480" w:lineRule="auto"/>
              <w:rPr>
                <w:rFonts w:ascii="Calibri" w:eastAsia="Times New Roman" w:hAnsi="Calibri"/>
                <w:b/>
                <w:bCs/>
                <w:color w:val="000000"/>
                <w:szCs w:val="28"/>
              </w:rPr>
            </w:pPr>
          </w:p>
        </w:tc>
      </w:tr>
      <w:tr w:rsidR="00CA1B8B" w14:paraId="59ECD128"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052CF5B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ER status (n)</w:t>
            </w:r>
          </w:p>
        </w:tc>
        <w:tc>
          <w:tcPr>
            <w:tcW w:w="374" w:type="pct"/>
            <w:tcBorders>
              <w:top w:val="nil"/>
              <w:left w:val="nil"/>
              <w:bottom w:val="single" w:sz="8" w:space="0" w:color="auto"/>
              <w:right w:val="single" w:sz="8" w:space="0" w:color="auto"/>
            </w:tcBorders>
            <w:shd w:val="clear" w:color="auto" w:fill="auto"/>
            <w:noWrap/>
            <w:vAlign w:val="center"/>
            <w:hideMark/>
          </w:tcPr>
          <w:p w14:paraId="28DAD32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43</w:t>
            </w:r>
          </w:p>
        </w:tc>
        <w:tc>
          <w:tcPr>
            <w:tcW w:w="406" w:type="pct"/>
            <w:tcBorders>
              <w:top w:val="nil"/>
              <w:left w:val="nil"/>
              <w:bottom w:val="single" w:sz="8" w:space="0" w:color="auto"/>
              <w:right w:val="single" w:sz="8" w:space="0" w:color="auto"/>
            </w:tcBorders>
            <w:shd w:val="clear" w:color="auto" w:fill="auto"/>
            <w:noWrap/>
            <w:vAlign w:val="center"/>
            <w:hideMark/>
          </w:tcPr>
          <w:p w14:paraId="6DE46EE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74" w:type="pct"/>
            <w:tcBorders>
              <w:top w:val="nil"/>
              <w:left w:val="nil"/>
              <w:bottom w:val="single" w:sz="8" w:space="0" w:color="auto"/>
              <w:right w:val="single" w:sz="8" w:space="0" w:color="auto"/>
            </w:tcBorders>
            <w:shd w:val="clear" w:color="auto" w:fill="auto"/>
            <w:noWrap/>
            <w:vAlign w:val="center"/>
            <w:hideMark/>
          </w:tcPr>
          <w:p w14:paraId="6F7FF3B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406" w:type="pct"/>
            <w:tcBorders>
              <w:top w:val="nil"/>
              <w:left w:val="nil"/>
              <w:bottom w:val="single" w:sz="8" w:space="0" w:color="auto"/>
              <w:right w:val="single" w:sz="8" w:space="0" w:color="auto"/>
            </w:tcBorders>
            <w:shd w:val="clear" w:color="auto" w:fill="auto"/>
            <w:noWrap/>
            <w:vAlign w:val="center"/>
            <w:hideMark/>
          </w:tcPr>
          <w:p w14:paraId="1AB615F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8</w:t>
            </w:r>
          </w:p>
        </w:tc>
        <w:tc>
          <w:tcPr>
            <w:tcW w:w="369" w:type="pct"/>
            <w:tcBorders>
              <w:top w:val="nil"/>
              <w:left w:val="nil"/>
              <w:bottom w:val="single" w:sz="8" w:space="0" w:color="auto"/>
              <w:right w:val="single" w:sz="8" w:space="0" w:color="auto"/>
            </w:tcBorders>
            <w:shd w:val="clear" w:color="auto" w:fill="auto"/>
            <w:noWrap/>
            <w:vAlign w:val="center"/>
            <w:hideMark/>
          </w:tcPr>
          <w:p w14:paraId="567668A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0.696</w:t>
            </w:r>
          </w:p>
        </w:tc>
        <w:tc>
          <w:tcPr>
            <w:tcW w:w="374" w:type="pct"/>
            <w:tcBorders>
              <w:top w:val="nil"/>
              <w:left w:val="nil"/>
              <w:bottom w:val="single" w:sz="8" w:space="0" w:color="auto"/>
              <w:right w:val="single" w:sz="8" w:space="0" w:color="auto"/>
            </w:tcBorders>
            <w:shd w:val="clear" w:color="auto" w:fill="auto"/>
            <w:noWrap/>
            <w:vAlign w:val="center"/>
            <w:hideMark/>
          </w:tcPr>
          <w:p w14:paraId="179964B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42</w:t>
            </w:r>
          </w:p>
        </w:tc>
        <w:tc>
          <w:tcPr>
            <w:tcW w:w="406" w:type="pct"/>
            <w:tcBorders>
              <w:top w:val="nil"/>
              <w:left w:val="nil"/>
              <w:bottom w:val="single" w:sz="8" w:space="0" w:color="auto"/>
              <w:right w:val="single" w:sz="8" w:space="0" w:color="auto"/>
            </w:tcBorders>
            <w:shd w:val="clear" w:color="auto" w:fill="auto"/>
            <w:noWrap/>
            <w:vAlign w:val="center"/>
            <w:hideMark/>
          </w:tcPr>
          <w:p w14:paraId="72B8E9E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374" w:type="pct"/>
            <w:tcBorders>
              <w:top w:val="nil"/>
              <w:left w:val="nil"/>
              <w:bottom w:val="single" w:sz="8" w:space="0" w:color="auto"/>
              <w:right w:val="single" w:sz="8" w:space="0" w:color="auto"/>
            </w:tcBorders>
            <w:shd w:val="clear" w:color="auto" w:fill="auto"/>
            <w:noWrap/>
            <w:vAlign w:val="center"/>
            <w:hideMark/>
          </w:tcPr>
          <w:p w14:paraId="3AF37DE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37</w:t>
            </w:r>
          </w:p>
        </w:tc>
        <w:tc>
          <w:tcPr>
            <w:tcW w:w="406" w:type="pct"/>
            <w:tcBorders>
              <w:top w:val="nil"/>
              <w:left w:val="nil"/>
              <w:bottom w:val="single" w:sz="8" w:space="0" w:color="auto"/>
              <w:right w:val="single" w:sz="8" w:space="0" w:color="auto"/>
            </w:tcBorders>
            <w:shd w:val="clear" w:color="auto" w:fill="auto"/>
            <w:noWrap/>
            <w:vAlign w:val="center"/>
            <w:hideMark/>
          </w:tcPr>
          <w:p w14:paraId="2A318EA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369" w:type="pct"/>
            <w:tcBorders>
              <w:top w:val="nil"/>
              <w:left w:val="nil"/>
              <w:bottom w:val="single" w:sz="8" w:space="0" w:color="auto"/>
              <w:right w:val="nil"/>
            </w:tcBorders>
            <w:shd w:val="clear" w:color="auto" w:fill="auto"/>
            <w:noWrap/>
            <w:vAlign w:val="center"/>
            <w:hideMark/>
          </w:tcPr>
          <w:p w14:paraId="4A39D1E4"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0.786</w:t>
            </w:r>
          </w:p>
        </w:tc>
        <w:tc>
          <w:tcPr>
            <w:tcW w:w="3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5E707"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0.026</w:t>
            </w:r>
          </w:p>
        </w:tc>
      </w:tr>
      <w:tr w:rsidR="00CA1B8B" w14:paraId="0019F27C"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D20CEA9"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PR status (n)</w:t>
            </w:r>
          </w:p>
        </w:tc>
        <w:tc>
          <w:tcPr>
            <w:tcW w:w="374" w:type="pct"/>
            <w:tcBorders>
              <w:top w:val="nil"/>
              <w:left w:val="nil"/>
              <w:bottom w:val="single" w:sz="8" w:space="0" w:color="auto"/>
              <w:right w:val="single" w:sz="8" w:space="0" w:color="auto"/>
            </w:tcBorders>
            <w:shd w:val="clear" w:color="auto" w:fill="auto"/>
            <w:noWrap/>
            <w:vAlign w:val="center"/>
            <w:hideMark/>
          </w:tcPr>
          <w:p w14:paraId="1EA50F26"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44</w:t>
            </w:r>
          </w:p>
        </w:tc>
        <w:tc>
          <w:tcPr>
            <w:tcW w:w="406" w:type="pct"/>
            <w:tcBorders>
              <w:top w:val="nil"/>
              <w:left w:val="nil"/>
              <w:bottom w:val="single" w:sz="8" w:space="0" w:color="auto"/>
              <w:right w:val="single" w:sz="8" w:space="0" w:color="auto"/>
            </w:tcBorders>
            <w:shd w:val="clear" w:color="auto" w:fill="auto"/>
            <w:noWrap/>
            <w:vAlign w:val="center"/>
            <w:hideMark/>
          </w:tcPr>
          <w:p w14:paraId="3D42F20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18</w:t>
            </w:r>
          </w:p>
        </w:tc>
        <w:tc>
          <w:tcPr>
            <w:tcW w:w="374" w:type="pct"/>
            <w:tcBorders>
              <w:top w:val="nil"/>
              <w:left w:val="nil"/>
              <w:bottom w:val="single" w:sz="8" w:space="0" w:color="auto"/>
              <w:right w:val="single" w:sz="8" w:space="0" w:color="auto"/>
            </w:tcBorders>
            <w:shd w:val="clear" w:color="auto" w:fill="auto"/>
            <w:noWrap/>
            <w:vAlign w:val="center"/>
            <w:hideMark/>
          </w:tcPr>
          <w:p w14:paraId="4C4CE75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3D53CFC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11</w:t>
            </w:r>
          </w:p>
        </w:tc>
        <w:tc>
          <w:tcPr>
            <w:tcW w:w="369" w:type="pct"/>
            <w:tcBorders>
              <w:top w:val="nil"/>
              <w:left w:val="nil"/>
              <w:bottom w:val="single" w:sz="8" w:space="0" w:color="auto"/>
              <w:right w:val="single" w:sz="8" w:space="0" w:color="auto"/>
            </w:tcBorders>
            <w:shd w:val="clear" w:color="auto" w:fill="auto"/>
            <w:noWrap/>
            <w:vAlign w:val="center"/>
            <w:hideMark/>
          </w:tcPr>
          <w:p w14:paraId="53577AC2"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0.455</w:t>
            </w:r>
          </w:p>
        </w:tc>
        <w:tc>
          <w:tcPr>
            <w:tcW w:w="374" w:type="pct"/>
            <w:tcBorders>
              <w:top w:val="nil"/>
              <w:left w:val="nil"/>
              <w:bottom w:val="single" w:sz="8" w:space="0" w:color="auto"/>
              <w:right w:val="single" w:sz="8" w:space="0" w:color="auto"/>
            </w:tcBorders>
            <w:shd w:val="clear" w:color="auto" w:fill="auto"/>
            <w:noWrap/>
            <w:vAlign w:val="center"/>
            <w:hideMark/>
          </w:tcPr>
          <w:p w14:paraId="5E0D406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3D6CF77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374" w:type="pct"/>
            <w:tcBorders>
              <w:top w:val="nil"/>
              <w:left w:val="nil"/>
              <w:bottom w:val="single" w:sz="8" w:space="0" w:color="auto"/>
              <w:right w:val="single" w:sz="8" w:space="0" w:color="auto"/>
            </w:tcBorders>
            <w:shd w:val="clear" w:color="auto" w:fill="auto"/>
            <w:noWrap/>
            <w:vAlign w:val="center"/>
            <w:hideMark/>
          </w:tcPr>
          <w:p w14:paraId="185EDC6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0A3A80D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369" w:type="pct"/>
            <w:tcBorders>
              <w:top w:val="nil"/>
              <w:left w:val="nil"/>
              <w:bottom w:val="single" w:sz="8" w:space="0" w:color="auto"/>
              <w:right w:val="nil"/>
            </w:tcBorders>
            <w:shd w:val="clear" w:color="auto" w:fill="auto"/>
            <w:noWrap/>
            <w:vAlign w:val="center"/>
            <w:hideMark/>
          </w:tcPr>
          <w:p w14:paraId="016E542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0.130</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09F7361"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0.018</w:t>
            </w:r>
          </w:p>
        </w:tc>
      </w:tr>
      <w:tr w:rsidR="00CA1B8B" w14:paraId="066E1904"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7E783E6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Triple-positive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FE94D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13</w:t>
            </w:r>
          </w:p>
        </w:tc>
        <w:tc>
          <w:tcPr>
            <w:tcW w:w="406" w:type="pct"/>
            <w:tcBorders>
              <w:top w:val="nil"/>
              <w:left w:val="nil"/>
              <w:bottom w:val="single" w:sz="8" w:space="0" w:color="auto"/>
              <w:right w:val="single" w:sz="8" w:space="0" w:color="auto"/>
            </w:tcBorders>
            <w:shd w:val="clear" w:color="auto" w:fill="auto"/>
            <w:noWrap/>
            <w:vAlign w:val="center"/>
            <w:hideMark/>
          </w:tcPr>
          <w:p w14:paraId="72A19037" w14:textId="440C64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49</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3B26751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p>
        </w:tc>
        <w:tc>
          <w:tcPr>
            <w:tcW w:w="406" w:type="pct"/>
            <w:tcBorders>
              <w:top w:val="nil"/>
              <w:left w:val="nil"/>
              <w:bottom w:val="single" w:sz="8" w:space="0" w:color="auto"/>
              <w:right w:val="single" w:sz="8" w:space="0" w:color="auto"/>
            </w:tcBorders>
            <w:shd w:val="clear" w:color="auto" w:fill="auto"/>
            <w:noWrap/>
            <w:vAlign w:val="center"/>
            <w:hideMark/>
          </w:tcPr>
          <w:p w14:paraId="4D667E12" w14:textId="23B5D19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21</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single" w:sz="8" w:space="0" w:color="auto"/>
            </w:tcBorders>
            <w:shd w:val="clear" w:color="auto" w:fill="auto"/>
            <w:noWrap/>
            <w:vAlign w:val="center"/>
            <w:hideMark/>
          </w:tcPr>
          <w:p w14:paraId="6FFF51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0.662</w:t>
            </w:r>
          </w:p>
        </w:tc>
        <w:tc>
          <w:tcPr>
            <w:tcW w:w="374" w:type="pct"/>
            <w:tcBorders>
              <w:top w:val="nil"/>
              <w:left w:val="nil"/>
              <w:bottom w:val="single" w:sz="8" w:space="0" w:color="auto"/>
              <w:right w:val="single" w:sz="8" w:space="0" w:color="auto"/>
            </w:tcBorders>
            <w:shd w:val="clear" w:color="auto" w:fill="auto"/>
            <w:noWrap/>
            <w:vAlign w:val="center"/>
            <w:hideMark/>
          </w:tcPr>
          <w:p w14:paraId="30E2C69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w:t>
            </w:r>
          </w:p>
        </w:tc>
        <w:tc>
          <w:tcPr>
            <w:tcW w:w="406" w:type="pct"/>
            <w:tcBorders>
              <w:top w:val="nil"/>
              <w:left w:val="nil"/>
              <w:bottom w:val="single" w:sz="8" w:space="0" w:color="auto"/>
              <w:right w:val="single" w:sz="8" w:space="0" w:color="auto"/>
            </w:tcBorders>
            <w:shd w:val="clear" w:color="auto" w:fill="auto"/>
            <w:noWrap/>
            <w:vAlign w:val="center"/>
            <w:hideMark/>
          </w:tcPr>
          <w:p w14:paraId="06E97789" w14:textId="70B6821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57</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459B6CB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w:t>
            </w:r>
          </w:p>
        </w:tc>
        <w:tc>
          <w:tcPr>
            <w:tcW w:w="406" w:type="pct"/>
            <w:tcBorders>
              <w:top w:val="nil"/>
              <w:left w:val="nil"/>
              <w:bottom w:val="single" w:sz="8" w:space="0" w:color="auto"/>
              <w:right w:val="single" w:sz="8" w:space="0" w:color="auto"/>
            </w:tcBorders>
            <w:shd w:val="clear" w:color="auto" w:fill="auto"/>
            <w:noWrap/>
            <w:vAlign w:val="center"/>
            <w:hideMark/>
          </w:tcPr>
          <w:p w14:paraId="76A710FB" w14:textId="533A134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50</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nil"/>
            </w:tcBorders>
            <w:shd w:val="clear" w:color="auto" w:fill="auto"/>
            <w:noWrap/>
            <w:vAlign w:val="center"/>
            <w:hideMark/>
          </w:tcPr>
          <w:p w14:paraId="02435F3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0.437</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6DA8F93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0.348</w:t>
            </w:r>
          </w:p>
        </w:tc>
      </w:tr>
      <w:tr w:rsidR="00CA1B8B" w14:paraId="31606AB6"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48C26B12"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Triple-negative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92695A" w14:textId="736943E3"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3CE09D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55</w:t>
            </w:r>
          </w:p>
        </w:tc>
        <w:tc>
          <w:tcPr>
            <w:tcW w:w="374" w:type="pct"/>
            <w:tcBorders>
              <w:top w:val="nil"/>
              <w:left w:val="nil"/>
              <w:bottom w:val="single" w:sz="8" w:space="0" w:color="auto"/>
              <w:right w:val="single" w:sz="8" w:space="0" w:color="auto"/>
            </w:tcBorders>
            <w:shd w:val="clear" w:color="auto" w:fill="auto"/>
            <w:noWrap/>
            <w:vAlign w:val="center"/>
            <w:hideMark/>
          </w:tcPr>
          <w:p w14:paraId="10034DFD" w14:textId="2BF27E20"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69D3A70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22</w:t>
            </w:r>
          </w:p>
        </w:tc>
        <w:tc>
          <w:tcPr>
            <w:tcW w:w="369" w:type="pct"/>
            <w:tcBorders>
              <w:top w:val="nil"/>
              <w:left w:val="nil"/>
              <w:bottom w:val="single" w:sz="8" w:space="0" w:color="auto"/>
              <w:right w:val="single" w:sz="8" w:space="0" w:color="auto"/>
            </w:tcBorders>
            <w:shd w:val="clear" w:color="auto" w:fill="auto"/>
            <w:noWrap/>
            <w:vAlign w:val="center"/>
            <w:hideMark/>
          </w:tcPr>
          <w:p w14:paraId="77BB48E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0.774</w:t>
            </w:r>
          </w:p>
        </w:tc>
        <w:tc>
          <w:tcPr>
            <w:tcW w:w="374" w:type="pct"/>
            <w:tcBorders>
              <w:top w:val="nil"/>
              <w:left w:val="nil"/>
              <w:bottom w:val="single" w:sz="8" w:space="0" w:color="auto"/>
              <w:right w:val="single" w:sz="8" w:space="0" w:color="auto"/>
            </w:tcBorders>
            <w:shd w:val="clear" w:color="auto" w:fill="auto"/>
            <w:noWrap/>
            <w:vAlign w:val="center"/>
            <w:hideMark/>
          </w:tcPr>
          <w:p w14:paraId="66E98B54" w14:textId="6B64576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10</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289310A0"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52</w:t>
            </w:r>
          </w:p>
        </w:tc>
        <w:tc>
          <w:tcPr>
            <w:tcW w:w="374" w:type="pct"/>
            <w:tcBorders>
              <w:top w:val="nil"/>
              <w:left w:val="nil"/>
              <w:bottom w:val="single" w:sz="8" w:space="0" w:color="auto"/>
              <w:right w:val="single" w:sz="8" w:space="0" w:color="auto"/>
            </w:tcBorders>
            <w:shd w:val="clear" w:color="auto" w:fill="auto"/>
            <w:noWrap/>
            <w:vAlign w:val="center"/>
            <w:hideMark/>
          </w:tcPr>
          <w:p w14:paraId="2CF18E50" w14:textId="78FC942C"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49ED51C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48</w:t>
            </w:r>
          </w:p>
        </w:tc>
        <w:tc>
          <w:tcPr>
            <w:tcW w:w="369" w:type="pct"/>
            <w:tcBorders>
              <w:top w:val="nil"/>
              <w:left w:val="nil"/>
              <w:bottom w:val="single" w:sz="8" w:space="0" w:color="auto"/>
              <w:right w:val="nil"/>
            </w:tcBorders>
            <w:shd w:val="clear" w:color="auto" w:fill="auto"/>
            <w:noWrap/>
            <w:vAlign w:val="center"/>
            <w:hideMark/>
          </w:tcPr>
          <w:p w14:paraId="30671A68" w14:textId="00183F62" w:rsidR="00FC6A43" w:rsidRPr="00CA1B8B" w:rsidRDefault="00CA1B8B"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w:t>
            </w:r>
            <w:r w:rsidR="00FC6A43" w:rsidRPr="00CA1B8B">
              <w:rPr>
                <w:rFonts w:ascii="Calibri" w:eastAsia="Times New Roman" w:hAnsi="Calibri"/>
                <w:b/>
                <w:i/>
                <w:color w:val="000000"/>
              </w:rPr>
              <w:t>03</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7E6CDCD2"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0.011</w:t>
            </w:r>
          </w:p>
        </w:tc>
      </w:tr>
      <w:tr w:rsidR="00CA1B8B" w14:paraId="5B49ABC2"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5AEA9CDC"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HER2 status (n)</w:t>
            </w:r>
          </w:p>
        </w:tc>
        <w:tc>
          <w:tcPr>
            <w:tcW w:w="374" w:type="pct"/>
            <w:tcBorders>
              <w:top w:val="nil"/>
              <w:left w:val="nil"/>
              <w:bottom w:val="single" w:sz="8" w:space="0" w:color="auto"/>
              <w:right w:val="single" w:sz="8" w:space="0" w:color="auto"/>
            </w:tcBorders>
            <w:shd w:val="clear" w:color="auto" w:fill="auto"/>
            <w:noWrap/>
            <w:vAlign w:val="center"/>
            <w:hideMark/>
          </w:tcPr>
          <w:p w14:paraId="75908E7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406" w:type="pct"/>
            <w:tcBorders>
              <w:top w:val="nil"/>
              <w:left w:val="nil"/>
              <w:bottom w:val="single" w:sz="8" w:space="0" w:color="auto"/>
              <w:right w:val="single" w:sz="8" w:space="0" w:color="auto"/>
            </w:tcBorders>
            <w:shd w:val="clear" w:color="auto" w:fill="auto"/>
            <w:noWrap/>
            <w:vAlign w:val="center"/>
            <w:hideMark/>
          </w:tcPr>
          <w:p w14:paraId="45B676A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39</w:t>
            </w:r>
          </w:p>
        </w:tc>
        <w:tc>
          <w:tcPr>
            <w:tcW w:w="374" w:type="pct"/>
            <w:tcBorders>
              <w:top w:val="nil"/>
              <w:left w:val="nil"/>
              <w:bottom w:val="single" w:sz="8" w:space="0" w:color="auto"/>
              <w:right w:val="single" w:sz="8" w:space="0" w:color="auto"/>
            </w:tcBorders>
            <w:shd w:val="clear" w:color="auto" w:fill="auto"/>
            <w:noWrap/>
            <w:vAlign w:val="center"/>
            <w:hideMark/>
          </w:tcPr>
          <w:p w14:paraId="03F37FA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9</w:t>
            </w:r>
          </w:p>
        </w:tc>
        <w:tc>
          <w:tcPr>
            <w:tcW w:w="406" w:type="pct"/>
            <w:tcBorders>
              <w:top w:val="nil"/>
              <w:left w:val="nil"/>
              <w:bottom w:val="single" w:sz="8" w:space="0" w:color="auto"/>
              <w:right w:val="single" w:sz="8" w:space="0" w:color="auto"/>
            </w:tcBorders>
            <w:shd w:val="clear" w:color="auto" w:fill="auto"/>
            <w:noWrap/>
            <w:vAlign w:val="center"/>
            <w:hideMark/>
          </w:tcPr>
          <w:p w14:paraId="2F75C57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69" w:type="pct"/>
            <w:tcBorders>
              <w:top w:val="nil"/>
              <w:left w:val="nil"/>
              <w:bottom w:val="single" w:sz="8" w:space="0" w:color="auto"/>
              <w:right w:val="single" w:sz="8" w:space="0" w:color="auto"/>
            </w:tcBorders>
            <w:shd w:val="clear" w:color="auto" w:fill="auto"/>
            <w:noWrap/>
            <w:vAlign w:val="center"/>
            <w:hideMark/>
          </w:tcPr>
          <w:p w14:paraId="5426751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0.659</w:t>
            </w:r>
          </w:p>
        </w:tc>
        <w:tc>
          <w:tcPr>
            <w:tcW w:w="374" w:type="pct"/>
            <w:tcBorders>
              <w:top w:val="nil"/>
              <w:left w:val="nil"/>
              <w:bottom w:val="single" w:sz="8" w:space="0" w:color="auto"/>
              <w:right w:val="single" w:sz="8" w:space="0" w:color="auto"/>
            </w:tcBorders>
            <w:shd w:val="clear" w:color="auto" w:fill="auto"/>
            <w:noWrap/>
            <w:vAlign w:val="center"/>
            <w:hideMark/>
          </w:tcPr>
          <w:p w14:paraId="62662ED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0520FA1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45</w:t>
            </w:r>
          </w:p>
        </w:tc>
        <w:tc>
          <w:tcPr>
            <w:tcW w:w="374" w:type="pct"/>
            <w:tcBorders>
              <w:top w:val="nil"/>
              <w:left w:val="nil"/>
              <w:bottom w:val="single" w:sz="8" w:space="0" w:color="auto"/>
              <w:right w:val="single" w:sz="8" w:space="0" w:color="auto"/>
            </w:tcBorders>
            <w:shd w:val="clear" w:color="auto" w:fill="auto"/>
            <w:noWrap/>
            <w:vAlign w:val="center"/>
            <w:hideMark/>
          </w:tcPr>
          <w:p w14:paraId="5D27902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w:t>
            </w:r>
          </w:p>
        </w:tc>
        <w:tc>
          <w:tcPr>
            <w:tcW w:w="406" w:type="pct"/>
            <w:tcBorders>
              <w:top w:val="nil"/>
              <w:left w:val="nil"/>
              <w:bottom w:val="single" w:sz="8" w:space="0" w:color="auto"/>
              <w:right w:val="single" w:sz="8" w:space="0" w:color="auto"/>
            </w:tcBorders>
            <w:shd w:val="clear" w:color="auto" w:fill="auto"/>
            <w:noWrap/>
            <w:vAlign w:val="center"/>
            <w:hideMark/>
          </w:tcPr>
          <w:p w14:paraId="51D2512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40</w:t>
            </w:r>
          </w:p>
        </w:tc>
        <w:tc>
          <w:tcPr>
            <w:tcW w:w="369" w:type="pct"/>
            <w:tcBorders>
              <w:top w:val="nil"/>
              <w:left w:val="nil"/>
              <w:bottom w:val="single" w:sz="8" w:space="0" w:color="auto"/>
              <w:right w:val="nil"/>
            </w:tcBorders>
            <w:shd w:val="clear" w:color="auto" w:fill="auto"/>
            <w:noWrap/>
            <w:vAlign w:val="center"/>
            <w:hideMark/>
          </w:tcPr>
          <w:p w14:paraId="0C7F4FD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0.082</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B2666FD"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0.036</w:t>
            </w:r>
          </w:p>
        </w:tc>
      </w:tr>
      <w:tr w:rsidR="00FC6A43" w14:paraId="24A5CA65" w14:textId="77777777" w:rsidTr="00CA1B8B">
        <w:trPr>
          <w:trHeight w:val="40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344F25F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B71460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997D8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5272445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B5A23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71BF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16AD2A25" w14:textId="77777777" w:rsidR="00FC6A43" w:rsidRPr="00CA1B8B" w:rsidRDefault="00FC6A43" w:rsidP="000304E2">
            <w:pPr>
              <w:spacing w:line="480" w:lineRule="auto"/>
              <w:jc w:val="center"/>
              <w:rPr>
                <w:rFonts w:ascii="Calibri" w:eastAsia="Times New Roman" w:hAnsi="Calibri"/>
                <w:color w:val="000000"/>
                <w:szCs w:val="28"/>
              </w:rPr>
            </w:pPr>
            <w:r w:rsidRPr="00CA1B8B">
              <w:rPr>
                <w:rFonts w:ascii="Calibri" w:eastAsia="Times New Roman" w:hAnsi="Calibri"/>
                <w:color w:val="000000"/>
                <w:szCs w:val="28"/>
              </w:rPr>
              <w:t> </w:t>
            </w:r>
          </w:p>
        </w:tc>
        <w:tc>
          <w:tcPr>
            <w:tcW w:w="386" w:type="pct"/>
            <w:tcBorders>
              <w:top w:val="nil"/>
              <w:left w:val="nil"/>
              <w:bottom w:val="single" w:sz="8" w:space="0" w:color="auto"/>
              <w:right w:val="single" w:sz="8" w:space="0" w:color="auto"/>
            </w:tcBorders>
            <w:shd w:val="clear" w:color="auto" w:fill="auto"/>
            <w:noWrap/>
            <w:vAlign w:val="bottom"/>
            <w:hideMark/>
          </w:tcPr>
          <w:p w14:paraId="0C3692A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r>
      <w:tr w:rsidR="00FC6A43" w14:paraId="6E6EA2C0"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E998689" w14:textId="77777777" w:rsidR="00616F80"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5-year mortality rates</w:t>
            </w:r>
            <w:r w:rsidR="00616F80">
              <w:rPr>
                <w:rFonts w:ascii="Calibri" w:eastAsia="Times New Roman" w:hAnsi="Calibri"/>
                <w:color w:val="000000"/>
              </w:rPr>
              <w:t xml:space="preserve"> </w:t>
            </w:r>
          </w:p>
          <w:p w14:paraId="07524C7A" w14:textId="12CB2DBC" w:rsidR="00FC6A43" w:rsidRPr="00CA1B8B" w:rsidRDefault="00616F80" w:rsidP="000304E2">
            <w:pPr>
              <w:spacing w:line="480" w:lineRule="auto"/>
              <w:rPr>
                <w:rFonts w:ascii="Calibri" w:eastAsia="Times New Roman" w:hAnsi="Calibri"/>
                <w:color w:val="000000"/>
              </w:rPr>
            </w:pPr>
            <w:r>
              <w:rPr>
                <w:rFonts w:ascii="Calibri" w:eastAsia="Times New Roman" w:hAnsi="Calibri"/>
                <w:color w:val="000000"/>
              </w:rPr>
              <w:t>(</w:t>
            </w:r>
            <w:r w:rsidRPr="00616F80">
              <w:rPr>
                <w:rFonts w:ascii="Calibri" w:eastAsia="Times New Roman" w:hAnsi="Calibri"/>
                <w:color w:val="000000"/>
              </w:rPr>
              <w:t>decease</w:t>
            </w:r>
            <w:r>
              <w:rPr>
                <w:rFonts w:ascii="Calibri" w:eastAsia="Times New Roman" w:hAnsi="Calibri"/>
                <w:color w:val="000000"/>
              </w:rPr>
              <w:t>)</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B4C983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12.90 (8)</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797E0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14.28 (4)</w:t>
            </w:r>
          </w:p>
        </w:tc>
        <w:tc>
          <w:tcPr>
            <w:tcW w:w="369" w:type="pct"/>
            <w:tcBorders>
              <w:top w:val="nil"/>
              <w:left w:val="nil"/>
              <w:bottom w:val="single" w:sz="8" w:space="0" w:color="auto"/>
              <w:right w:val="single" w:sz="8" w:space="0" w:color="auto"/>
            </w:tcBorders>
            <w:shd w:val="clear" w:color="auto" w:fill="auto"/>
            <w:noWrap/>
            <w:vAlign w:val="center"/>
            <w:hideMark/>
          </w:tcPr>
          <w:p w14:paraId="03E3D36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0.907</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63173C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19.35 (12)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2345C7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14.81 (8)</w:t>
            </w:r>
          </w:p>
        </w:tc>
        <w:tc>
          <w:tcPr>
            <w:tcW w:w="369" w:type="pct"/>
            <w:tcBorders>
              <w:top w:val="nil"/>
              <w:left w:val="nil"/>
              <w:bottom w:val="single" w:sz="8" w:space="0" w:color="auto"/>
              <w:right w:val="single" w:sz="8" w:space="0" w:color="auto"/>
            </w:tcBorders>
            <w:shd w:val="clear" w:color="auto" w:fill="auto"/>
            <w:noWrap/>
            <w:vAlign w:val="center"/>
            <w:hideMark/>
          </w:tcPr>
          <w:p w14:paraId="6DCBDE4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0.570</w:t>
            </w:r>
          </w:p>
        </w:tc>
        <w:tc>
          <w:tcPr>
            <w:tcW w:w="386" w:type="pct"/>
            <w:tcBorders>
              <w:top w:val="nil"/>
              <w:left w:val="nil"/>
              <w:bottom w:val="single" w:sz="8" w:space="0" w:color="auto"/>
              <w:right w:val="single" w:sz="8" w:space="0" w:color="auto"/>
            </w:tcBorders>
            <w:shd w:val="clear" w:color="auto" w:fill="auto"/>
            <w:noWrap/>
            <w:vAlign w:val="center"/>
            <w:hideMark/>
          </w:tcPr>
          <w:p w14:paraId="411C1C18" w14:textId="31A74638"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w:t>
            </w:r>
            <w:r w:rsidR="00C60678">
              <w:rPr>
                <w:rFonts w:ascii="Calibri" w:eastAsia="Times New Roman" w:hAnsi="Calibri"/>
                <w:color w:val="000000"/>
              </w:rPr>
              <w:t>07</w:t>
            </w:r>
            <w:r w:rsidRPr="00CA1B8B">
              <w:rPr>
                <w:rFonts w:ascii="Calibri" w:eastAsia="Times New Roman" w:hAnsi="Calibri"/>
                <w:color w:val="000000"/>
              </w:rPr>
              <w:t>1</w:t>
            </w:r>
          </w:p>
        </w:tc>
      </w:tr>
    </w:tbl>
    <w:p w14:paraId="161F3EDE" w14:textId="2A137BCB" w:rsidR="009A173F" w:rsidRDefault="009A173F" w:rsidP="000304E2">
      <w:pPr>
        <w:autoSpaceDE w:val="0"/>
        <w:autoSpaceDN w:val="0"/>
        <w:adjustRightInd w:val="0"/>
        <w:spacing w:line="480" w:lineRule="auto"/>
        <w:jc w:val="both"/>
      </w:pPr>
    </w:p>
    <w:p w14:paraId="344068C0" w14:textId="04A8361E" w:rsidR="000D5E17" w:rsidRPr="00F30CD5" w:rsidRDefault="000D5E17" w:rsidP="000304E2">
      <w:pPr>
        <w:autoSpaceDE w:val="0"/>
        <w:autoSpaceDN w:val="0"/>
        <w:adjustRightInd w:val="0"/>
        <w:spacing w:line="480" w:lineRule="auto"/>
        <w:ind w:firstLine="720"/>
        <w:jc w:val="both"/>
        <w:rPr>
          <w:color w:val="000000" w:themeColor="text1"/>
        </w:rPr>
      </w:pPr>
      <w:r w:rsidRPr="00F30CD5">
        <w:rPr>
          <w:color w:val="000000" w:themeColor="text1"/>
        </w:rPr>
        <w:lastRenderedPageBreak/>
        <w:t xml:space="preserve">BMI: Body-mass index, n: number of patients, ER: Estrogen receptor, PR: </w:t>
      </w:r>
      <w:proofErr w:type="spellStart"/>
      <w:r w:rsidRPr="00F30CD5">
        <w:rPr>
          <w:color w:val="000000" w:themeColor="text1"/>
        </w:rPr>
        <w:t>Progesteron</w:t>
      </w:r>
      <w:proofErr w:type="spellEnd"/>
      <w:r w:rsidRPr="00F30CD5">
        <w:rPr>
          <w:color w:val="000000" w:themeColor="text1"/>
        </w:rPr>
        <w:t xml:space="preserve"> receptor, HER2: Human epidermal growth factor receptor 2</w:t>
      </w:r>
      <w:r w:rsidR="00981196" w:rsidRPr="00F30CD5">
        <w:rPr>
          <w:color w:val="000000" w:themeColor="text1"/>
        </w:rPr>
        <w:t xml:space="preserve">, </w:t>
      </w:r>
      <w:r w:rsidR="00AB4295" w:rsidRPr="00F30CD5">
        <w:rPr>
          <w:color w:val="000000" w:themeColor="text1"/>
          <w:vertAlign w:val="superscript"/>
        </w:rPr>
        <w:t>a</w:t>
      </w:r>
      <w:r w:rsidR="00981196" w:rsidRPr="00F30CD5">
        <w:rPr>
          <w:color w:val="000000" w:themeColor="text1"/>
        </w:rPr>
        <w:t xml:space="preserve"> refers to non-triple positive patients, </w:t>
      </w:r>
      <w:r w:rsidR="00AB4295" w:rsidRPr="00F30CD5">
        <w:rPr>
          <w:color w:val="000000" w:themeColor="text1"/>
          <w:vertAlign w:val="superscript"/>
        </w:rPr>
        <w:t>b</w:t>
      </w:r>
      <w:r w:rsidR="00981196" w:rsidRPr="00F30CD5">
        <w:rPr>
          <w:color w:val="000000" w:themeColor="text1"/>
        </w:rPr>
        <w:t xml:space="preserve"> refers to non-triple negative patients</w:t>
      </w:r>
      <w:r w:rsidR="00AB4295" w:rsidRPr="00F30CD5">
        <w:rPr>
          <w:color w:val="000000" w:themeColor="text1"/>
        </w:rPr>
        <w:t>, * refers to comparison</w:t>
      </w:r>
      <w:r w:rsidR="00283FCE" w:rsidRPr="00F30CD5">
        <w:rPr>
          <w:color w:val="000000" w:themeColor="text1"/>
        </w:rPr>
        <w:t xml:space="preserve"> of IHC-surrogate markers and mortality rates</w:t>
      </w:r>
      <w:r w:rsidR="00AB4295" w:rsidRPr="00F30CD5">
        <w:rPr>
          <w:color w:val="000000" w:themeColor="text1"/>
        </w:rPr>
        <w:t xml:space="preserve"> between pre-menopausal and post-menopausal patients.</w:t>
      </w:r>
    </w:p>
    <w:p w14:paraId="497BFA5C" w14:textId="77777777" w:rsidR="000D5E17" w:rsidRDefault="000D5E17" w:rsidP="000304E2">
      <w:pPr>
        <w:autoSpaceDE w:val="0"/>
        <w:autoSpaceDN w:val="0"/>
        <w:adjustRightInd w:val="0"/>
        <w:spacing w:line="480" w:lineRule="auto"/>
        <w:jc w:val="both"/>
      </w:pPr>
    </w:p>
    <w:p w14:paraId="305F573C" w14:textId="77777777" w:rsidR="003B00FF" w:rsidRPr="00FE7EC5" w:rsidRDefault="003B00FF" w:rsidP="000304E2">
      <w:pPr>
        <w:autoSpaceDE w:val="0"/>
        <w:autoSpaceDN w:val="0"/>
        <w:adjustRightInd w:val="0"/>
        <w:spacing w:line="480" w:lineRule="auto"/>
        <w:jc w:val="both"/>
      </w:pPr>
    </w:p>
    <w:sectPr w:rsidR="003B00FF" w:rsidRPr="00FE7EC5" w:rsidSect="00167D26">
      <w:pgSz w:w="16840" w:h="11900" w:orient="landscape"/>
      <w:pgMar w:top="1417" w:right="1417" w:bottom="1417" w:left="1417" w:header="708" w:footer="708" w:gutter="0"/>
      <w:cols w:space="708"/>
      <w:docGrid w:linePitch="360"/>
    </w:sectPr>
  </w:body>
</w:document>
</file>

<file path=word/comments.xml><?xml version="1.0" encoding="utf-8"?>
<w:comments xmlns:r="http://schemas.openxmlformats.org/officeDocument/2006/relationships" xmlns:rel="http://schemas.openxmlformats.org/package/2006/relationships" xmlns:w="http://schemas.openxmlformats.org/wordprocessingml/2006/main" xmlns:w15="http://schemas.microsoft.com/office/word/2012/wordml">
  <w:comment w:author="Check this" w:date="2025-07-06T19:32:45Z" w:id="20" w:initials="PNLP">
    <w:p>
      <w:pPr>
        <w:pStyle w:val="CommentText"/>
      </w:pPr>
      <w:r>
        <w:rPr>
          <w:rStyle w:val="CommentReference"/>
        </w:rPr>
        <w:annotationRef/>
      </w:r>
      <w:r>
        <w:t xml:space="preserve">Have you said which Ethical Review Board gave you ethical approval?</w:t>
      </w:r>
    </w:p>
  </w:comment>
  <w:comment w:author="Check this" w:date="2025-07-06T19:32:45Z" w:id="21" w:initials="PNLP">
    <w:p>
      <w:pPr>
        <w:pStyle w:val="CommentText"/>
      </w:pPr>
      <w:r>
        <w:rPr>
          <w:rStyle w:val="CommentReference"/>
        </w:rPr>
        <w:annotationRef/>
      </w:r>
      <w:r>
        <w:t xml:space="preserve">Did participants give informed consent?</w:t>
      </w:r>
    </w:p>
  </w:comment>
  <w:comment w:author="Looks good" w:date="2025-07-06T19:32:45Z" w:id="22" w:initials="PNLP">
    <w:p>
      <w:pPr>
        <w:pStyle w:val="CommentText"/>
      </w:pPr>
      <w:r>
        <w:rPr>
          <w:rStyle w:val="CommentReference"/>
        </w:rPr>
        <w:annotationRef/>
      </w:r>
      <w:r>
        <w:t xml:space="preserve">Your citations appear in ascending order.</w:t>
      </w:r>
    </w:p>
  </w:comment>
  <w:comment w:author="Check this" w:date="2025-07-06T19:32:45Z" w:id="23" w:initials="PNLP">
    <w:p>
      <w:pPr>
        <w:pStyle w:val="CommentText"/>
      </w:pPr>
      <w:r>
        <w:rPr>
          <w:rStyle w:val="CommentReference"/>
        </w:rPr>
        <w:annotationRef/>
      </w:r>
      <w:r>
        <w:t xml:space="preserve">Have you included a section called "Strengths and Limitations"?</w:t>
      </w:r>
    </w:p>
  </w:comment>
  <w:comment w:author="Check this" w:date="2025-07-06T19:32:45Z" w:id="24" w:initials="PNLP">
    <w:p>
      <w:pPr>
        <w:pStyle w:val="CommentText"/>
      </w:pPr>
      <w:r>
        <w:rPr>
          <w:rStyle w:val="CommentReference"/>
        </w:rPr>
        <w:annotationRef/>
      </w:r>
      <w:r>
        <w:t xml:space="preserve">Have you included a section called "Funding"? You should declare your funding using wording similar to: 'This work was supported by [name of funder] grant number [xxx]' or 'This research didn't receive grants from any funding agency in the public, commercial or not-for-profit sectors'. You can use FundRef to check the official name of your funder.  </w:t>
      </w:r>
      <w:hyperlink r:id="plink24" w:history="1">
        <w:r>
          <w:rPr>
            <w:rStyle w:val="Hyperlink"/>
          </w:rPr>
          <w:t xml:space="preserve">search.crossref.org/funding</w:t>
        </w:r>
      </w:hyperlink>
    </w:p>
  </w:comment>
  <w:comment w:author="Check this" w:date="2025-07-06T19:32:45Z" w:id="25" w:initials="PNLP">
    <w:p>
      <w:pPr>
        <w:pStyle w:val="CommentText"/>
      </w:pPr>
      <w:r>
        <w:rPr>
          <w:rStyle w:val="CommentReference"/>
        </w:rPr>
        <w:annotationRef/>
      </w:r>
      <w:r>
        <w:t xml:space="preserve">Have you included a data statement section? Most journals strongly advise authors to make their raw data available by publishing it in a repository. You should explain where your data is help and how others can access it. Most repositories will make your data citable and give it a unique identifier. You should include the identifier in this section and put the citation in your references list.  The Digital Curation Centre has lots of good advice on how to curate and share your data.  </w:t>
      </w:r>
      <w:hyperlink r:id="plink25" w:history="1">
        <w:r>
          <w:rPr>
            <w:rStyle w:val="Hyperlink"/>
          </w:rPr>
          <w:t xml:space="preserve">www.dcc.ac.uk/resources/how-guides/cite-datasets</w:t>
        </w:r>
      </w:hyperlink>
    </w:p>
  </w:comment>
  <w:comment w:author="Check this" w:date="2025-07-06T19:32:45Z" w:id="26" w:initials="PNLP">
    <w:p>
      <w:pPr>
        <w:pStyle w:val="CommentText"/>
      </w:pPr>
      <w:r>
        <w:rPr>
          <w:rStyle w:val="CommentReference"/>
        </w:rPr>
        <w:annotationRef/>
      </w:r>
      <w:r>
        <w:t xml:space="preserve">Have you included a section where you explain author contributions? You should mention each author by their initials and explain how they contributed to the work.</w:t>
      </w:r>
    </w:p>
  </w:comment>
  <w:comment w:author="Check this" w:date="2025-07-06T19:32:45Z" w:id="27" w:initials="PNLP">
    <w:p>
      <w:pPr>
        <w:pStyle w:val="CommentText"/>
      </w:pPr>
      <w:r>
        <w:rPr>
          <w:rStyle w:val="CommentReference"/>
        </w:rPr>
        <w:annotationRef/>
      </w:r>
      <w:r>
        <w:t xml:space="preserve">Have you included an acknowledgements section?</w:t>
      </w:r>
    </w:p>
  </w:comment>
  <w:comment w:author="Looks good" w:date="2025-07-06T19:32:45Z" w:id="19" w:initials="PNLP">
    <w:p>
      <w:pPr>
        <w:pStyle w:val="CommentText"/>
      </w:pPr>
      <w:r>
        <w:rPr>
          <w:rStyle w:val="CommentReference"/>
        </w:rPr>
        <w:annotationRef/>
      </w:r>
      <w:r>
        <w:t xml:space="preserve">Your manuscript is divided into sections. IMRaD (Introduction, Methods, Results, and Discussion) is the most prominent norm for the structure of a scientific journal article of the original research type.</w:t>
      </w:r>
    </w:p>
  </w:comment>
  <w:comment w:author="Looks good" w:date="2025-07-06T19:32:45Z" w:id="18" w:initials="PNLP">
    <w:p>
      <w:pPr>
        <w:pStyle w:val="CommentText"/>
      </w:pPr>
      <w:r>
        <w:rPr>
          <w:rStyle w:val="CommentReference"/>
        </w:rPr>
        <w:annotationRef/>
      </w:r>
      <w:r>
        <w:t xml:space="preserve">Your abstract is within the word limit. Word count: 210</w:t>
      </w:r>
    </w:p>
  </w:comment>
  <w:comment w:author="Looks good" w:date="2025-07-06T19:32:45Z" w:id="17" w:initials="PNLP">
    <w:p>
      <w:pPr>
        <w:pStyle w:val="CommentText"/>
      </w:pPr>
      <w:r>
        <w:rPr>
          <w:rStyle w:val="CommentReference"/>
        </w:rPr>
        <w:annotationRef/>
      </w:r>
      <w:r>
        <w:t xml:space="preserve">You have an introduction. Research articles should include a clear statement of the main study aims and major hypothesis/research question. Some journals require that research papers specify whether the study is confirmatory or exploratory.</w:t>
      </w:r>
    </w:p>
  </w:comment>
  <w:comment w:author="Check this" w:date="2025-07-06T19:32:45Z" w:id="16" w:initials="PNLP">
    <w:p>
      <w:pPr>
        <w:pStyle w:val="CommentText"/>
      </w:pPr>
      <w:r>
        <w:rPr>
          <w:rStyle w:val="CommentReference"/>
        </w:rPr>
        <w:annotationRef/>
      </w:r>
      <w:r>
        <w:t xml:space="preserve">Have you referenced this citation? (Citation 6)</w:t>
      </w:r>
    </w:p>
  </w:comment>
  <w:comment w:author="Looks good" w:date="2025-07-06T19:32:45Z" w:id="15" w:initials="PNLP">
    <w:p>
      <w:pPr>
        <w:pStyle w:val="CommentText"/>
      </w:pPr>
      <w:r>
        <w:rPr>
          <w:rStyle w:val="CommentReference"/>
        </w:rPr>
        <w:annotationRef/>
      </w:r>
      <w:r>
        <w:t xml:space="preserve">You have included a methods section. Research articles should clearly describe the study design, research sample and the primary/secondary outcomes.</w:t>
      </w:r>
    </w:p>
  </w:comment>
  <w:comment w:author="Looks good" w:date="2025-07-06T19:32:45Z" w:id="14" w:initials="PNLP">
    <w:p>
      <w:pPr>
        <w:pStyle w:val="CommentText"/>
      </w:pPr>
      <w:r>
        <w:rPr>
          <w:rStyle w:val="CommentReference"/>
        </w:rPr>
        <w:annotationRef/>
      </w:r>
      <w:r>
        <w:t xml:space="preserve">You have addressed ethical approval.</w:t>
      </w:r>
    </w:p>
  </w:comment>
  <w:comment w:author="Looks good" w:date="2025-07-06T19:32:45Z" w:id="13" w:initials="PNLP">
    <w:p>
      <w:pPr>
        <w:pStyle w:val="CommentText"/>
      </w:pPr>
      <w:r>
        <w:rPr>
          <w:rStyle w:val="CommentReference"/>
        </w:rPr>
        <w:annotationRef/>
      </w:r>
      <w:r>
        <w:t xml:space="preserve">You have a results section. The results section should state the findings of the research arranged in a logical sequence without bias or interpretation. Avoid providing data that is not critical to answering the research question.</w:t>
      </w:r>
    </w:p>
  </w:comment>
  <w:comment w:author="Looks good" w:date="2025-07-06T19:32:45Z" w:id="12" w:initials="PNLP">
    <w:p>
      <w:pPr>
        <w:pStyle w:val="CommentText"/>
      </w:pPr>
      <w:r>
        <w:rPr>
          <w:rStyle w:val="CommentReference"/>
        </w:rPr>
        <w:annotationRef/>
      </w:r>
      <w:r>
        <w:t xml:space="preserve">This table has a table legend. (Table 1)</w:t>
      </w:r>
    </w:p>
  </w:comment>
  <w:comment w:author="Looks good" w:date="2025-07-06T19:32:45Z" w:id="11" w:initials="PNLP">
    <w:p>
      <w:pPr>
        <w:pStyle w:val="CommentText"/>
      </w:pPr>
      <w:r>
        <w:rPr>
          <w:rStyle w:val="CommentReference"/>
        </w:rPr>
        <w:annotationRef/>
      </w:r>
      <w:r>
        <w:t xml:space="preserve">This table has a table legend. (Table 2)</w:t>
      </w:r>
    </w:p>
  </w:comment>
  <w:comment w:author="Looks good" w:date="2025-07-06T19:32:45Z" w:id="10" w:initials="PNLP">
    <w:p>
      <w:pPr>
        <w:pStyle w:val="CommentText"/>
      </w:pPr>
      <w:r>
        <w:rPr>
          <w:rStyle w:val="CommentReference"/>
        </w:rPr>
        <w:annotationRef/>
      </w:r>
      <w:r>
        <w:t xml:space="preserve">You have a discussion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w:t>
      </w:r>
    </w:p>
  </w:comment>
  <w:comment w:author="Looks good" w:date="2025-07-06T19:32:45Z" w:id="9" w:initials="PNLP">
    <w:p>
      <w:pPr>
        <w:pStyle w:val="CommentText"/>
      </w:pPr>
      <w:r>
        <w:rPr>
          <w:rStyle w:val="CommentReference"/>
        </w:rPr>
        <w:annotationRef/>
      </w:r>
      <w:r>
        <w:t xml:space="preserve">You have a section called "Conclusions"</w:t>
      </w:r>
    </w:p>
  </w:comment>
  <w:comment w:author="Looks good" w:date="2025-07-06T19:32:45Z" w:id="8" w:initials="PNLP">
    <w:p>
      <w:pPr>
        <w:pStyle w:val="CommentText"/>
      </w:pPr>
      <w:r>
        <w:rPr>
          <w:rStyle w:val="CommentReference"/>
        </w:rPr>
        <w:annotationRef/>
      </w:r>
      <w:r>
        <w:t xml:space="preserve">You have included a conflicts of interests section.</w:t>
      </w:r>
    </w:p>
  </w:comment>
  <w:comment w:author="Looks good" w:date="2025-07-06T19:32:45Z" w:id="7" w:initials="PNLP">
    <w:p>
      <w:pPr>
        <w:pStyle w:val="CommentText"/>
      </w:pPr>
      <w:r>
        <w:rPr>
          <w:rStyle w:val="CommentReference"/>
        </w:rPr>
        <w:annotationRef/>
      </w:r>
      <w:r>
        <w:t xml:space="preserve">You have a references section. Check PoolText Reference Accuracy and Actuality reports to see how accurate and up to date your references are.</w:t>
      </w:r>
    </w:p>
  </w:comment>
  <w:comment w:author="Looks good" w:date="2025-07-06T19:32:45Z" w:id="6" w:initials="PNLP">
    <w:p>
      <w:pPr>
        <w:pStyle w:val="CommentText"/>
      </w:pPr>
      <w:r>
        <w:rPr>
          <w:rStyle w:val="CommentReference"/>
        </w:rPr>
        <w:annotationRef/>
      </w:r>
      <w:r>
        <w:t xml:space="preserve">Reference and citation style match.</w:t>
      </w:r>
    </w:p>
  </w:comment>
  <w:comment w:author="Check this" w:date="2025-07-06T19:32:45Z" w:id="5" w:initials="PNLP">
    <w:p>
      <w:pPr>
        <w:pStyle w:val="CommentText"/>
      </w:pPr>
      <w:r>
        <w:rPr>
          <w:rStyle w:val="CommentReference"/>
        </w:rPr>
        <w:annotationRef/>
      </w:r>
      <w:r>
        <w:t xml:space="preserve">Is this reference cited? (Reference 5)</w:t>
      </w:r>
    </w:p>
  </w:comment>
  <w:comment w:author="Check this" w:date="2025-07-06T19:32:45Z" w:id="4" w:initials="PNLP">
    <w:p>
      <w:pPr>
        <w:pStyle w:val="CommentText"/>
      </w:pPr>
      <w:r>
        <w:rPr>
          <w:rStyle w:val="CommentReference"/>
        </w:rPr>
        <w:annotationRef/>
      </w:r>
      <w:r>
        <w:t xml:space="preserve">Is this reference cited? (Reference 21)</w:t>
      </w:r>
    </w:p>
  </w:comment>
  <w:comment w:author="Check this" w:date="2025-07-06T19:32:45Z" w:id="3" w:initials="PNLP">
    <w:p>
      <w:pPr>
        <w:pStyle w:val="CommentText"/>
      </w:pPr>
      <w:r>
        <w:rPr>
          <w:rStyle w:val="CommentReference"/>
        </w:rPr>
        <w:annotationRef/>
      </w:r>
      <w:r>
        <w:t xml:space="preserve">Is this reference cited? (Reference 22)</w:t>
      </w:r>
    </w:p>
  </w:comment>
  <w:comment w:author="Looks good" w:date="2025-07-06T19:32:45Z" w:id="1" w:initials="PNLP">
    <w:p>
      <w:pPr>
        <w:pStyle w:val="CommentText"/>
      </w:pPr>
      <w:r>
        <w:rPr>
          <w:rStyle w:val="CommentReference"/>
        </w:rPr>
        <w:annotationRef/>
      </w:r>
      <w:r>
        <w:t xml:space="preserve">You've mentioned this table in the article body. Mentions: table 1 / table 1  (Table 1)</w:t>
      </w:r>
    </w:p>
  </w:comment>
  <w:comment w:author="Looks good" w:date="2025-07-06T19:32:45Z" w:id="2" w:initials="PNLP">
    <w:p>
      <w:pPr>
        <w:pStyle w:val="CommentText"/>
      </w:pPr>
      <w:r>
        <w:rPr>
          <w:rStyle w:val="CommentReference"/>
        </w:rPr>
        <w:annotationRef/>
      </w:r>
      <w:r>
        <w:t xml:space="preserve">You have included tables in this file. Remember to use Microsoft Word's native table feature. Don't embed Excel tables, and avoid using merged cells or line breaks within cells, otherwise your table may get distorted.</w:t>
      </w:r>
    </w:p>
  </w:comment>
  <w:comment w:author="Looks good" w:date="2025-07-06T19:32:45Z" w:id="0" w:initials="PNLP">
    <w:p>
      <w:pPr>
        <w:pStyle w:val="CommentText"/>
      </w:pPr>
      <w:r>
        <w:rPr>
          <w:rStyle w:val="CommentReference"/>
        </w:rPr>
        <w:annotationRef/>
      </w:r>
      <w:r>
        <w:t xml:space="preserve">You've mentioned this table in the article body. Mentions: table 2 / table 2  (Table 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AB1D" w14:textId="77777777" w:rsidR="0012450F" w:rsidRDefault="0012450F" w:rsidP="008F30B5">
      <w:r>
        <w:separator/>
      </w:r>
    </w:p>
  </w:endnote>
  <w:endnote w:type="continuationSeparator" w:id="0">
    <w:p w14:paraId="4A6A836E" w14:textId="77777777" w:rsidR="0012450F" w:rsidRDefault="0012450F" w:rsidP="008F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995"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71C5E" w14:textId="77777777" w:rsidR="008F30B5" w:rsidRDefault="008F30B5" w:rsidP="008F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036B"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F4D">
      <w:rPr>
        <w:rStyle w:val="PageNumber"/>
        <w:noProof/>
      </w:rPr>
      <w:t>1</w:t>
    </w:r>
    <w:r>
      <w:rPr>
        <w:rStyle w:val="PageNumber"/>
      </w:rPr>
      <w:fldChar w:fldCharType="end"/>
    </w:r>
  </w:p>
  <w:p w14:paraId="1B9A7213" w14:textId="77777777" w:rsidR="008F30B5" w:rsidRDefault="008F30B5" w:rsidP="008F30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3A95" w14:textId="77777777" w:rsidR="0012450F" w:rsidRDefault="0012450F" w:rsidP="008F30B5">
      <w:r>
        <w:separator/>
      </w:r>
    </w:p>
  </w:footnote>
  <w:footnote w:type="continuationSeparator" w:id="0">
    <w:p w14:paraId="2920666A" w14:textId="77777777" w:rsidR="0012450F" w:rsidRDefault="0012450F" w:rsidP="008F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F4CC3"/>
    <w:multiLevelType w:val="hybridMultilevel"/>
    <w:tmpl w:val="3E3ABFFC"/>
    <w:lvl w:ilvl="0" w:tplc="F01A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B4C1B"/>
    <w:rsid w:val="0002165F"/>
    <w:rsid w:val="000304E2"/>
    <w:rsid w:val="00031248"/>
    <w:rsid w:val="00032AED"/>
    <w:rsid w:val="0003465B"/>
    <w:rsid w:val="000460EF"/>
    <w:rsid w:val="0004724A"/>
    <w:rsid w:val="000478F8"/>
    <w:rsid w:val="00050B69"/>
    <w:rsid w:val="00052F4D"/>
    <w:rsid w:val="0005549D"/>
    <w:rsid w:val="00063418"/>
    <w:rsid w:val="000678C1"/>
    <w:rsid w:val="00073782"/>
    <w:rsid w:val="00084195"/>
    <w:rsid w:val="000857B2"/>
    <w:rsid w:val="000B3488"/>
    <w:rsid w:val="000B6926"/>
    <w:rsid w:val="000C0FE7"/>
    <w:rsid w:val="000D3144"/>
    <w:rsid w:val="000D5E17"/>
    <w:rsid w:val="000D74F5"/>
    <w:rsid w:val="000F10D4"/>
    <w:rsid w:val="00113962"/>
    <w:rsid w:val="0012450F"/>
    <w:rsid w:val="00125D47"/>
    <w:rsid w:val="00125D50"/>
    <w:rsid w:val="001474C6"/>
    <w:rsid w:val="0015255E"/>
    <w:rsid w:val="001679A9"/>
    <w:rsid w:val="00167D26"/>
    <w:rsid w:val="00192542"/>
    <w:rsid w:val="001930C1"/>
    <w:rsid w:val="00193804"/>
    <w:rsid w:val="00195D1B"/>
    <w:rsid w:val="00197380"/>
    <w:rsid w:val="001C0B41"/>
    <w:rsid w:val="001C1724"/>
    <w:rsid w:val="001C1ABD"/>
    <w:rsid w:val="001D019F"/>
    <w:rsid w:val="001D29D3"/>
    <w:rsid w:val="001D3B38"/>
    <w:rsid w:val="001D6232"/>
    <w:rsid w:val="001D6730"/>
    <w:rsid w:val="001E3858"/>
    <w:rsid w:val="001F19D4"/>
    <w:rsid w:val="00201BAD"/>
    <w:rsid w:val="0020292D"/>
    <w:rsid w:val="00203C34"/>
    <w:rsid w:val="00204BA9"/>
    <w:rsid w:val="00206826"/>
    <w:rsid w:val="002213DB"/>
    <w:rsid w:val="00224432"/>
    <w:rsid w:val="00226819"/>
    <w:rsid w:val="00226E87"/>
    <w:rsid w:val="00227481"/>
    <w:rsid w:val="0023343F"/>
    <w:rsid w:val="002435DF"/>
    <w:rsid w:val="00245EF2"/>
    <w:rsid w:val="00251EB9"/>
    <w:rsid w:val="002520BF"/>
    <w:rsid w:val="00253907"/>
    <w:rsid w:val="00253C1F"/>
    <w:rsid w:val="00261363"/>
    <w:rsid w:val="002672CF"/>
    <w:rsid w:val="0027462F"/>
    <w:rsid w:val="00283FCE"/>
    <w:rsid w:val="002864DF"/>
    <w:rsid w:val="00290729"/>
    <w:rsid w:val="00291554"/>
    <w:rsid w:val="002B0786"/>
    <w:rsid w:val="002B420D"/>
    <w:rsid w:val="002B6E66"/>
    <w:rsid w:val="002B76D0"/>
    <w:rsid w:val="002C0E43"/>
    <w:rsid w:val="002D3989"/>
    <w:rsid w:val="002D5C9E"/>
    <w:rsid w:val="002E1412"/>
    <w:rsid w:val="003158D8"/>
    <w:rsid w:val="00316485"/>
    <w:rsid w:val="00324483"/>
    <w:rsid w:val="00331841"/>
    <w:rsid w:val="00331D29"/>
    <w:rsid w:val="0033556F"/>
    <w:rsid w:val="00341CBB"/>
    <w:rsid w:val="00343432"/>
    <w:rsid w:val="0034363D"/>
    <w:rsid w:val="00354BB0"/>
    <w:rsid w:val="00355120"/>
    <w:rsid w:val="00356A02"/>
    <w:rsid w:val="003648FD"/>
    <w:rsid w:val="00375B9D"/>
    <w:rsid w:val="00383113"/>
    <w:rsid w:val="00383788"/>
    <w:rsid w:val="00387219"/>
    <w:rsid w:val="0039772A"/>
    <w:rsid w:val="00397A33"/>
    <w:rsid w:val="003A0581"/>
    <w:rsid w:val="003A2B9E"/>
    <w:rsid w:val="003A3831"/>
    <w:rsid w:val="003B00FF"/>
    <w:rsid w:val="003B21D2"/>
    <w:rsid w:val="003B2731"/>
    <w:rsid w:val="003C4AA7"/>
    <w:rsid w:val="003C5CEB"/>
    <w:rsid w:val="003D2F78"/>
    <w:rsid w:val="003E3874"/>
    <w:rsid w:val="003F298B"/>
    <w:rsid w:val="003F79F7"/>
    <w:rsid w:val="00401FB3"/>
    <w:rsid w:val="0040554B"/>
    <w:rsid w:val="0041284D"/>
    <w:rsid w:val="004169FB"/>
    <w:rsid w:val="0041734D"/>
    <w:rsid w:val="00422878"/>
    <w:rsid w:val="00427FA2"/>
    <w:rsid w:val="00435D65"/>
    <w:rsid w:val="00442C85"/>
    <w:rsid w:val="00450F44"/>
    <w:rsid w:val="00453453"/>
    <w:rsid w:val="00454264"/>
    <w:rsid w:val="00457633"/>
    <w:rsid w:val="0046343A"/>
    <w:rsid w:val="00466DC2"/>
    <w:rsid w:val="00467A9D"/>
    <w:rsid w:val="004733F9"/>
    <w:rsid w:val="00480303"/>
    <w:rsid w:val="004A02B6"/>
    <w:rsid w:val="004A5798"/>
    <w:rsid w:val="004B24B6"/>
    <w:rsid w:val="004B460D"/>
    <w:rsid w:val="004B7643"/>
    <w:rsid w:val="004C2AAC"/>
    <w:rsid w:val="004C4379"/>
    <w:rsid w:val="004C4BD7"/>
    <w:rsid w:val="004D1CF0"/>
    <w:rsid w:val="004D4E1F"/>
    <w:rsid w:val="004F0789"/>
    <w:rsid w:val="00500D97"/>
    <w:rsid w:val="00502869"/>
    <w:rsid w:val="005144E0"/>
    <w:rsid w:val="00521040"/>
    <w:rsid w:val="00531700"/>
    <w:rsid w:val="00534ED5"/>
    <w:rsid w:val="00536092"/>
    <w:rsid w:val="00550FFF"/>
    <w:rsid w:val="00564816"/>
    <w:rsid w:val="0058103B"/>
    <w:rsid w:val="0058410E"/>
    <w:rsid w:val="005906C6"/>
    <w:rsid w:val="005A013A"/>
    <w:rsid w:val="005A4E35"/>
    <w:rsid w:val="005C6B17"/>
    <w:rsid w:val="005D01B2"/>
    <w:rsid w:val="005D02B6"/>
    <w:rsid w:val="005E2939"/>
    <w:rsid w:val="005F5C0F"/>
    <w:rsid w:val="005F688E"/>
    <w:rsid w:val="005F74E2"/>
    <w:rsid w:val="0060565B"/>
    <w:rsid w:val="00616F80"/>
    <w:rsid w:val="00625E58"/>
    <w:rsid w:val="0063379F"/>
    <w:rsid w:val="00644E53"/>
    <w:rsid w:val="00647190"/>
    <w:rsid w:val="006514D2"/>
    <w:rsid w:val="00652D05"/>
    <w:rsid w:val="00653A8D"/>
    <w:rsid w:val="00654927"/>
    <w:rsid w:val="0066547F"/>
    <w:rsid w:val="00667B2A"/>
    <w:rsid w:val="00681D7B"/>
    <w:rsid w:val="00690686"/>
    <w:rsid w:val="00692CC6"/>
    <w:rsid w:val="00696217"/>
    <w:rsid w:val="00696D7D"/>
    <w:rsid w:val="00697223"/>
    <w:rsid w:val="006A1FE6"/>
    <w:rsid w:val="006B2403"/>
    <w:rsid w:val="006B7F07"/>
    <w:rsid w:val="006E160F"/>
    <w:rsid w:val="00703AE2"/>
    <w:rsid w:val="0071170F"/>
    <w:rsid w:val="007147F2"/>
    <w:rsid w:val="0072398A"/>
    <w:rsid w:val="0073764F"/>
    <w:rsid w:val="00743B3D"/>
    <w:rsid w:val="007463BB"/>
    <w:rsid w:val="00747DE4"/>
    <w:rsid w:val="00752FC8"/>
    <w:rsid w:val="00753C01"/>
    <w:rsid w:val="00753D3E"/>
    <w:rsid w:val="00764372"/>
    <w:rsid w:val="00780779"/>
    <w:rsid w:val="00780E47"/>
    <w:rsid w:val="00781ED4"/>
    <w:rsid w:val="00782301"/>
    <w:rsid w:val="007868F9"/>
    <w:rsid w:val="0079088A"/>
    <w:rsid w:val="0079419A"/>
    <w:rsid w:val="007974AA"/>
    <w:rsid w:val="007A0058"/>
    <w:rsid w:val="007B4C1B"/>
    <w:rsid w:val="007C1469"/>
    <w:rsid w:val="007C490B"/>
    <w:rsid w:val="007D60CA"/>
    <w:rsid w:val="007F1037"/>
    <w:rsid w:val="007F49AF"/>
    <w:rsid w:val="007F5A24"/>
    <w:rsid w:val="008121FD"/>
    <w:rsid w:val="008160E6"/>
    <w:rsid w:val="008242E0"/>
    <w:rsid w:val="00832D19"/>
    <w:rsid w:val="008351AD"/>
    <w:rsid w:val="00851CC0"/>
    <w:rsid w:val="00856E2A"/>
    <w:rsid w:val="00875C30"/>
    <w:rsid w:val="00877EA9"/>
    <w:rsid w:val="00884998"/>
    <w:rsid w:val="00887954"/>
    <w:rsid w:val="00895BD0"/>
    <w:rsid w:val="008974E8"/>
    <w:rsid w:val="008B6733"/>
    <w:rsid w:val="008B7377"/>
    <w:rsid w:val="008C3876"/>
    <w:rsid w:val="008C6646"/>
    <w:rsid w:val="008C6A39"/>
    <w:rsid w:val="008E0EC5"/>
    <w:rsid w:val="008F30B5"/>
    <w:rsid w:val="00903A51"/>
    <w:rsid w:val="00910F97"/>
    <w:rsid w:val="0091139F"/>
    <w:rsid w:val="00911886"/>
    <w:rsid w:val="009139D8"/>
    <w:rsid w:val="00924122"/>
    <w:rsid w:val="0095077D"/>
    <w:rsid w:val="00953E78"/>
    <w:rsid w:val="009623BC"/>
    <w:rsid w:val="00965316"/>
    <w:rsid w:val="00970D4B"/>
    <w:rsid w:val="009809F6"/>
    <w:rsid w:val="00981196"/>
    <w:rsid w:val="009856FE"/>
    <w:rsid w:val="00992AD8"/>
    <w:rsid w:val="00995AAA"/>
    <w:rsid w:val="009A173F"/>
    <w:rsid w:val="009B4F5E"/>
    <w:rsid w:val="009C38A9"/>
    <w:rsid w:val="009D6062"/>
    <w:rsid w:val="009E30E0"/>
    <w:rsid w:val="009F7ECF"/>
    <w:rsid w:val="00A03027"/>
    <w:rsid w:val="00A05A50"/>
    <w:rsid w:val="00A17029"/>
    <w:rsid w:val="00A22839"/>
    <w:rsid w:val="00A26A70"/>
    <w:rsid w:val="00A30D19"/>
    <w:rsid w:val="00A31307"/>
    <w:rsid w:val="00A34ADA"/>
    <w:rsid w:val="00A37744"/>
    <w:rsid w:val="00A46A3A"/>
    <w:rsid w:val="00A5104C"/>
    <w:rsid w:val="00A5499F"/>
    <w:rsid w:val="00A77BEE"/>
    <w:rsid w:val="00A83919"/>
    <w:rsid w:val="00A856EB"/>
    <w:rsid w:val="00A91047"/>
    <w:rsid w:val="00A93CC5"/>
    <w:rsid w:val="00A949BF"/>
    <w:rsid w:val="00A95210"/>
    <w:rsid w:val="00AA2E44"/>
    <w:rsid w:val="00AA6B55"/>
    <w:rsid w:val="00AB272F"/>
    <w:rsid w:val="00AB4295"/>
    <w:rsid w:val="00AB6022"/>
    <w:rsid w:val="00AB631A"/>
    <w:rsid w:val="00AC35A8"/>
    <w:rsid w:val="00AC3B91"/>
    <w:rsid w:val="00AC617E"/>
    <w:rsid w:val="00AC6B5B"/>
    <w:rsid w:val="00AD1929"/>
    <w:rsid w:val="00AD28F2"/>
    <w:rsid w:val="00AD57CE"/>
    <w:rsid w:val="00AD5D9C"/>
    <w:rsid w:val="00AE4D11"/>
    <w:rsid w:val="00AF3333"/>
    <w:rsid w:val="00B170D4"/>
    <w:rsid w:val="00B228B6"/>
    <w:rsid w:val="00B25AEB"/>
    <w:rsid w:val="00B34218"/>
    <w:rsid w:val="00B4120A"/>
    <w:rsid w:val="00B429DA"/>
    <w:rsid w:val="00B445DD"/>
    <w:rsid w:val="00B54F41"/>
    <w:rsid w:val="00B570F3"/>
    <w:rsid w:val="00B67D57"/>
    <w:rsid w:val="00B67EE7"/>
    <w:rsid w:val="00B700D4"/>
    <w:rsid w:val="00B71E56"/>
    <w:rsid w:val="00B91D44"/>
    <w:rsid w:val="00B933FB"/>
    <w:rsid w:val="00B9376F"/>
    <w:rsid w:val="00B94195"/>
    <w:rsid w:val="00B97A94"/>
    <w:rsid w:val="00BA79E3"/>
    <w:rsid w:val="00BC742F"/>
    <w:rsid w:val="00BD1443"/>
    <w:rsid w:val="00BD4CD3"/>
    <w:rsid w:val="00BE5FB4"/>
    <w:rsid w:val="00BF1433"/>
    <w:rsid w:val="00BF4606"/>
    <w:rsid w:val="00C154A3"/>
    <w:rsid w:val="00C174AE"/>
    <w:rsid w:val="00C239F2"/>
    <w:rsid w:val="00C24484"/>
    <w:rsid w:val="00C2507E"/>
    <w:rsid w:val="00C278F3"/>
    <w:rsid w:val="00C35811"/>
    <w:rsid w:val="00C424D5"/>
    <w:rsid w:val="00C53901"/>
    <w:rsid w:val="00C60678"/>
    <w:rsid w:val="00C766E5"/>
    <w:rsid w:val="00C773FD"/>
    <w:rsid w:val="00C94B15"/>
    <w:rsid w:val="00CA1B8B"/>
    <w:rsid w:val="00CB07C7"/>
    <w:rsid w:val="00CB6A3F"/>
    <w:rsid w:val="00CC5299"/>
    <w:rsid w:val="00CD1B66"/>
    <w:rsid w:val="00CD431A"/>
    <w:rsid w:val="00CE36B7"/>
    <w:rsid w:val="00CF4611"/>
    <w:rsid w:val="00CF7D40"/>
    <w:rsid w:val="00D0316A"/>
    <w:rsid w:val="00D05687"/>
    <w:rsid w:val="00D131D7"/>
    <w:rsid w:val="00D13FD9"/>
    <w:rsid w:val="00D2196A"/>
    <w:rsid w:val="00D25CA7"/>
    <w:rsid w:val="00D3205E"/>
    <w:rsid w:val="00D43475"/>
    <w:rsid w:val="00D475AA"/>
    <w:rsid w:val="00D61AF8"/>
    <w:rsid w:val="00D6385C"/>
    <w:rsid w:val="00DA6BD2"/>
    <w:rsid w:val="00DB2B62"/>
    <w:rsid w:val="00DB5D87"/>
    <w:rsid w:val="00DB6AD0"/>
    <w:rsid w:val="00DB6DC3"/>
    <w:rsid w:val="00DC0026"/>
    <w:rsid w:val="00DC2D4D"/>
    <w:rsid w:val="00DC773B"/>
    <w:rsid w:val="00DD1EEE"/>
    <w:rsid w:val="00DD6539"/>
    <w:rsid w:val="00DE02D9"/>
    <w:rsid w:val="00DE7790"/>
    <w:rsid w:val="00DF2F20"/>
    <w:rsid w:val="00DF35BB"/>
    <w:rsid w:val="00DF3CEC"/>
    <w:rsid w:val="00E04BA0"/>
    <w:rsid w:val="00E06B8A"/>
    <w:rsid w:val="00E11C2C"/>
    <w:rsid w:val="00E131C0"/>
    <w:rsid w:val="00E17087"/>
    <w:rsid w:val="00E2100C"/>
    <w:rsid w:val="00E2389E"/>
    <w:rsid w:val="00E257DE"/>
    <w:rsid w:val="00E25FFF"/>
    <w:rsid w:val="00E363D4"/>
    <w:rsid w:val="00E44BAB"/>
    <w:rsid w:val="00E45249"/>
    <w:rsid w:val="00E736A6"/>
    <w:rsid w:val="00E77027"/>
    <w:rsid w:val="00E8111A"/>
    <w:rsid w:val="00E822F3"/>
    <w:rsid w:val="00E9042E"/>
    <w:rsid w:val="00E93D76"/>
    <w:rsid w:val="00E95889"/>
    <w:rsid w:val="00EA433C"/>
    <w:rsid w:val="00EA7E72"/>
    <w:rsid w:val="00EB6109"/>
    <w:rsid w:val="00ED4339"/>
    <w:rsid w:val="00ED4E31"/>
    <w:rsid w:val="00ED64D5"/>
    <w:rsid w:val="00ED6964"/>
    <w:rsid w:val="00EE0127"/>
    <w:rsid w:val="00EF05BD"/>
    <w:rsid w:val="00EF122A"/>
    <w:rsid w:val="00EF3182"/>
    <w:rsid w:val="00F01CE8"/>
    <w:rsid w:val="00F06B7F"/>
    <w:rsid w:val="00F1297A"/>
    <w:rsid w:val="00F20592"/>
    <w:rsid w:val="00F22219"/>
    <w:rsid w:val="00F2268C"/>
    <w:rsid w:val="00F24E42"/>
    <w:rsid w:val="00F30CD5"/>
    <w:rsid w:val="00F34FB6"/>
    <w:rsid w:val="00F40961"/>
    <w:rsid w:val="00F432D8"/>
    <w:rsid w:val="00F44AF3"/>
    <w:rsid w:val="00F52654"/>
    <w:rsid w:val="00F64849"/>
    <w:rsid w:val="00F659F0"/>
    <w:rsid w:val="00F7184E"/>
    <w:rsid w:val="00F76691"/>
    <w:rsid w:val="00F77EC9"/>
    <w:rsid w:val="00F91230"/>
    <w:rsid w:val="00F91459"/>
    <w:rsid w:val="00FA10A4"/>
    <w:rsid w:val="00FA238D"/>
    <w:rsid w:val="00FA65DF"/>
    <w:rsid w:val="00FC6A43"/>
    <w:rsid w:val="00FD237B"/>
    <w:rsid w:val="00FE7EC5"/>
    <w:rsid w:val="00FF2DE0"/>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5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6B5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8D8"/>
    <w:rPr>
      <w:color w:val="0563C1" w:themeColor="hyperlink"/>
      <w:u w:val="single"/>
    </w:rPr>
  </w:style>
  <w:style w:type="paragraph" w:styleId="Bibliography">
    <w:name w:val="Bibliography"/>
    <w:basedOn w:val="Normal"/>
    <w:next w:val="Normal"/>
    <w:uiPriority w:val="37"/>
    <w:unhideWhenUsed/>
    <w:rsid w:val="003B00FF"/>
    <w:pPr>
      <w:tabs>
        <w:tab w:val="left" w:pos="500"/>
      </w:tabs>
      <w:spacing w:after="240"/>
      <w:ind w:left="504" w:hanging="504"/>
    </w:pPr>
  </w:style>
  <w:style w:type="paragraph" w:styleId="ListParagraph">
    <w:name w:val="List Paragraph"/>
    <w:basedOn w:val="Normal"/>
    <w:uiPriority w:val="34"/>
    <w:qFormat/>
    <w:rsid w:val="00DE02D9"/>
    <w:pPr>
      <w:ind w:left="720"/>
      <w:contextualSpacing/>
    </w:pPr>
  </w:style>
  <w:style w:type="paragraph" w:styleId="Footer">
    <w:name w:val="footer"/>
    <w:basedOn w:val="Normal"/>
    <w:link w:val="FooterChar"/>
    <w:uiPriority w:val="99"/>
    <w:unhideWhenUsed/>
    <w:rsid w:val="008F30B5"/>
    <w:pPr>
      <w:tabs>
        <w:tab w:val="center" w:pos="4536"/>
        <w:tab w:val="right" w:pos="9072"/>
      </w:tabs>
    </w:pPr>
  </w:style>
  <w:style w:type="character" w:customStyle="1" w:styleId="FooterChar">
    <w:name w:val="Footer Char"/>
    <w:basedOn w:val="DefaultParagraphFont"/>
    <w:link w:val="Footer"/>
    <w:uiPriority w:val="99"/>
    <w:rsid w:val="008F30B5"/>
    <w:rPr>
      <w:rFonts w:ascii="Times New Roman" w:hAnsi="Times New Roman" w:cs="Times New Roman"/>
    </w:rPr>
  </w:style>
  <w:style w:type="character" w:styleId="PageNumber">
    <w:name w:val="page number"/>
    <w:basedOn w:val="DefaultParagraphFont"/>
    <w:uiPriority w:val="99"/>
    <w:semiHidden/>
    <w:unhideWhenUsed/>
    <w:rsid w:val="008F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9955">
      <w:bodyDiv w:val="1"/>
      <w:marLeft w:val="0"/>
      <w:marRight w:val="0"/>
      <w:marTop w:val="0"/>
      <w:marBottom w:val="0"/>
      <w:divBdr>
        <w:top w:val="none" w:sz="0" w:space="0" w:color="auto"/>
        <w:left w:val="none" w:sz="0" w:space="0" w:color="auto"/>
        <w:bottom w:val="none" w:sz="0" w:space="0" w:color="auto"/>
        <w:right w:val="none" w:sz="0" w:space="0" w:color="auto"/>
      </w:divBdr>
    </w:div>
    <w:div w:id="1441141393">
      <w:bodyDiv w:val="1"/>
      <w:marLeft w:val="0"/>
      <w:marRight w:val="0"/>
      <w:marTop w:val="0"/>
      <w:marBottom w:val="0"/>
      <w:divBdr>
        <w:top w:val="none" w:sz="0" w:space="0" w:color="auto"/>
        <w:left w:val="none" w:sz="0" w:space="0" w:color="auto"/>
        <w:bottom w:val="none" w:sz="0" w:space="0" w:color="auto"/>
        <w:right w:val="none" w:sz="0" w:space="0" w:color="auto"/>
      </w:divBdr>
    </w:div>
    <w:div w:id="1578781523">
      <w:bodyDiv w:val="1"/>
      <w:marLeft w:val="0"/>
      <w:marRight w:val="0"/>
      <w:marTop w:val="0"/>
      <w:marBottom w:val="0"/>
      <w:divBdr>
        <w:top w:val="none" w:sz="0" w:space="0" w:color="auto"/>
        <w:left w:val="none" w:sz="0" w:space="0" w:color="auto"/>
        <w:bottom w:val="none" w:sz="0" w:space="0" w:color="auto"/>
        <w:right w:val="none" w:sz="0" w:space="0" w:color="auto"/>
      </w:divBdr>
    </w:div>
    <w:div w:id="1682313004">
      <w:bodyDiv w:val="1"/>
      <w:marLeft w:val="0"/>
      <w:marRight w:val="0"/>
      <w:marTop w:val="0"/>
      <w:marBottom w:val="0"/>
      <w:divBdr>
        <w:top w:val="none" w:sz="0" w:space="0" w:color="auto"/>
        <w:left w:val="none" w:sz="0" w:space="0" w:color="auto"/>
        <w:bottom w:val="none" w:sz="0" w:space="0" w:color="auto"/>
        <w:right w:val="none" w:sz="0" w:space="0" w:color="auto"/>
      </w:divBdr>
    </w:div>
    <w:div w:id="1881161172">
      <w:bodyDiv w:val="1"/>
      <w:marLeft w:val="0"/>
      <w:marRight w:val="0"/>
      <w:marTop w:val="0"/>
      <w:marBottom w:val="0"/>
      <w:divBdr>
        <w:top w:val="none" w:sz="0" w:space="0" w:color="auto"/>
        <w:left w:val="none" w:sz="0" w:space="0" w:color="auto"/>
        <w:bottom w:val="none" w:sz="0" w:space="0" w:color="auto"/>
        <w:right w:val="none" w:sz="0" w:space="0" w:color="auto"/>
      </w:divBdr>
    </w:div>
    <w:div w:id="19419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Relationships xmlns="http://schemas.openxmlformats.org/package/2006/relationships">
  <Relationship Id="plink24" Target="https://search.crossref.org/funding" TargetMode="External" Type="http://schemas.openxmlformats.org/officeDocument/2006/relationships/hyperlink"/>
  <Relationship Id="plink25" Target="http://www.dcc.ac.uk/resources/how-guides/cite-datasets" TargetMode="External" Type="http://schemas.openxmlformats.org/officeDocument/2006/relationships/hyperlink"/>
</Relationships>

</file>

<file path=word/_rels/document.xml.rels><Relationships xmlns="http://schemas.openxmlformats.org/package/2006/relationships">
  <Relationship Id="rId8" Type="http://schemas.openxmlformats.org/officeDocument/2006/relationships/hyperlink" Target="http://www.medcalc.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pIdcomments" Type="http://schemas.openxmlformats.org/officeDocument/2006/relationships/comments" Target="commen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8948-7A35-B647-A1B8-ED11D87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KOÇOĞLU -outlook-</dc:creator>
  <cp:keywords/>
  <dc:description/>
  <cp:lastModifiedBy>Hakan KOÇOĞLU -outlook-</cp:lastModifiedBy>
  <cp:revision>2</cp:revision>
  <dcterms:created xsi:type="dcterms:W3CDTF">2021-02-24T20:51:00Z</dcterms:created>
  <dcterms:modified xsi:type="dcterms:W3CDTF">2021-02-24T20:51:00Z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id="kDrIHlDk"/&gt;&lt;style id="http://www.zotero.org/styles/the-european-research-journal"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